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dashed" w:color="CCCCCC" w:sz="4" w:space="9"/>
          <w:right w:val="none" w:color="auto" w:sz="0" w:space="0"/>
        </w:pBdr>
        <w:spacing w:before="120" w:beforeAutospacing="0" w:line="360" w:lineRule="atLeast"/>
        <w:jc w:val="center"/>
        <w:rPr>
          <w:rFonts w:ascii="宋体" w:hAnsi="宋体" w:eastAsia="宋体" w:cs="宋体"/>
          <w:b w:val="0"/>
          <w:bCs/>
          <w:kern w:val="0"/>
          <w:sz w:val="44"/>
          <w:szCs w:val="44"/>
          <w:bdr w:val="none" w:color="auto" w:sz="0" w:space="0"/>
          <w:lang w:val="en-US" w:eastAsia="zh-CN" w:bidi="ar"/>
        </w:rPr>
      </w:pPr>
    </w:p>
    <w:p>
      <w:pPr>
        <w:keepNext w:val="0"/>
        <w:keepLines w:val="0"/>
        <w:widowControl/>
        <w:suppressLineNumbers w:val="0"/>
        <w:pBdr>
          <w:top w:val="none" w:color="auto" w:sz="0" w:space="0"/>
          <w:left w:val="none" w:color="auto" w:sz="0" w:space="0"/>
          <w:bottom w:val="dashed" w:color="CCCCCC" w:sz="4" w:space="9"/>
          <w:right w:val="none" w:color="auto" w:sz="0" w:space="0"/>
        </w:pBdr>
        <w:spacing w:before="120" w:beforeAutospacing="0" w:line="360" w:lineRule="atLeast"/>
        <w:jc w:val="center"/>
        <w:rPr>
          <w:rFonts w:hint="eastAsia" w:ascii="方正小标宋简体" w:hAnsi="方正小标宋简体" w:eastAsia="方正小标宋简体" w:cs="方正小标宋简体"/>
          <w:b w:val="0"/>
          <w:bCs/>
          <w:kern w:val="0"/>
          <w:sz w:val="44"/>
          <w:szCs w:val="44"/>
          <w:bdr w:val="none" w:color="auto" w:sz="0" w:space="0"/>
          <w:lang w:val="en-US" w:eastAsia="zh-CN" w:bidi="ar"/>
        </w:rPr>
      </w:pPr>
      <w:r>
        <w:rPr>
          <w:rFonts w:hint="eastAsia" w:ascii="方正小标宋简体" w:hAnsi="方正小标宋简体" w:eastAsia="方正小标宋简体" w:cs="方正小标宋简体"/>
          <w:b w:val="0"/>
          <w:bCs/>
          <w:kern w:val="0"/>
          <w:sz w:val="44"/>
          <w:szCs w:val="44"/>
          <w:bdr w:val="none" w:color="auto" w:sz="0" w:space="0"/>
          <w:lang w:val="en-US" w:eastAsia="zh-CN" w:bidi="ar"/>
        </w:rPr>
        <w:t>华融湘江银行股份有限公司</w:t>
      </w:r>
    </w:p>
    <w:p>
      <w:pPr>
        <w:keepNext w:val="0"/>
        <w:keepLines w:val="0"/>
        <w:widowControl/>
        <w:suppressLineNumbers w:val="0"/>
        <w:pBdr>
          <w:top w:val="none" w:color="auto" w:sz="0" w:space="0"/>
          <w:left w:val="none" w:color="auto" w:sz="0" w:space="0"/>
          <w:bottom w:val="dashed" w:color="CCCCCC" w:sz="4" w:space="9"/>
          <w:right w:val="none" w:color="auto" w:sz="0" w:space="0"/>
        </w:pBdr>
        <w:spacing w:before="120" w:beforeAutospacing="0" w:line="360" w:lineRule="atLeast"/>
        <w:jc w:val="center"/>
        <w:rPr>
          <w:rFonts w:ascii="宋体" w:hAnsi="宋体" w:eastAsia="宋体" w:cs="宋体"/>
          <w:b w:val="0"/>
          <w:bCs/>
          <w:kern w:val="0"/>
          <w:sz w:val="44"/>
          <w:szCs w:val="44"/>
          <w:bdr w:val="none" w:color="auto" w:sz="0" w:space="0"/>
          <w:lang w:val="en-US" w:eastAsia="zh-CN" w:bidi="ar"/>
        </w:rPr>
      </w:pPr>
      <w:r>
        <w:rPr>
          <w:rFonts w:hint="eastAsia" w:ascii="方正小标宋简体" w:hAnsi="方正小标宋简体" w:eastAsia="方正小标宋简体" w:cs="方正小标宋简体"/>
          <w:b w:val="0"/>
          <w:bCs/>
          <w:kern w:val="0"/>
          <w:sz w:val="44"/>
          <w:szCs w:val="44"/>
          <w:bdr w:val="none" w:color="auto" w:sz="0" w:space="0"/>
          <w:lang w:val="en-US" w:eastAsia="zh-CN" w:bidi="ar"/>
        </w:rPr>
        <w:t>2014年社会责任报告</w:t>
      </w:r>
      <w:bookmarkStart w:id="0" w:name="_GoBack"/>
      <w:bookmarkEnd w:id="0"/>
    </w:p>
    <w:p>
      <w:pPr>
        <w:keepNext w:val="0"/>
        <w:keepLines w:val="0"/>
        <w:widowControl/>
        <w:suppressLineNumbers w:val="0"/>
        <w:pBdr>
          <w:top w:val="none" w:color="auto" w:sz="0" w:space="0"/>
          <w:left w:val="none" w:color="auto" w:sz="0" w:space="0"/>
          <w:bottom w:val="dashed" w:color="CCCCCC" w:sz="4" w:space="9"/>
          <w:right w:val="none" w:color="auto" w:sz="0" w:space="0"/>
        </w:pBdr>
        <w:spacing w:before="120" w:beforeAutospacing="0" w:line="360" w:lineRule="atLeast"/>
        <w:jc w:val="center"/>
        <w:rPr>
          <w:rFonts w:ascii="宋体" w:hAnsi="宋体" w:eastAsia="宋体" w:cs="宋体"/>
          <w:b w:val="0"/>
          <w:bCs/>
          <w:kern w:val="0"/>
          <w:sz w:val="44"/>
          <w:szCs w:val="44"/>
          <w:bdr w:val="none" w:color="auto" w:sz="0" w:space="0"/>
          <w:lang w:val="en-US" w:eastAsia="zh-CN" w:bidi="ar"/>
        </w:rPr>
      </w:pPr>
    </w:p>
    <w:tbl>
      <w:tblPr>
        <w:tblW w:w="5000" w:type="pct"/>
        <w:tblInd w:w="0" w:type="dxa"/>
        <w:shd w:val="clear"/>
        <w:tblLayout w:type="autofit"/>
        <w:tblCellMar>
          <w:top w:w="0" w:type="dxa"/>
          <w:left w:w="0" w:type="dxa"/>
          <w:bottom w:w="0" w:type="dxa"/>
          <w:right w:w="0" w:type="dxa"/>
        </w:tblCellMar>
      </w:tblPr>
      <w:tblGrid>
        <w:gridCol w:w="8306"/>
      </w:tblGrid>
      <w:tr>
        <w:tblPrEx>
          <w:shd w:val="clear"/>
        </w:tblPrEx>
        <w:tc>
          <w:tcPr>
            <w:tcW w:w="0" w:type="auto"/>
            <w:shd w:val="clear" w:color="auto" w:fill="FFFFFF"/>
            <w:vAlign w:val="top"/>
          </w:tcPr>
          <w:p>
            <w:pPr>
              <w:pStyle w:val="2"/>
              <w:keepNext w:val="0"/>
              <w:keepLines w:val="0"/>
              <w:widowControl/>
              <w:suppressLineNumbers w:val="0"/>
              <w:spacing w:before="0" w:beforeAutospacing="0" w:after="0" w:afterAutospacing="0" w:line="600" w:lineRule="atLeast"/>
              <w:ind w:left="0" w:right="0" w:firstLine="640"/>
              <w:jc w:val="both"/>
              <w:rPr>
                <w:rFonts w:ascii="Calibri" w:hAnsi="Calibri" w:cs="Calibri"/>
                <w:b w:val="0"/>
                <w:bCs/>
                <w:sz w:val="21"/>
                <w:szCs w:val="21"/>
              </w:rPr>
            </w:pPr>
            <w:r>
              <w:rPr>
                <w:rFonts w:ascii="仿宋_GB2312" w:hAnsi="Calibri" w:eastAsia="仿宋_GB2312" w:cs="仿宋_GB2312"/>
                <w:b w:val="0"/>
                <w:bCs/>
                <w:sz w:val="32"/>
                <w:szCs w:val="32"/>
              </w:rPr>
              <w:t>华融湘江银行是在国家财政部、银监会和湖南省委、省政府的大力支持下，由中国华融资产管理股份有限公司（下称“中国华融”）控股，在重组湖南原株洲、湘潭、衡阳、岳阳市城市商业银行和邵阳市城市信用社的基础上，依法新设成立的一家区域性股份制商业银行。</w:t>
            </w:r>
            <w:r>
              <w:rPr>
                <w:rFonts w:hint="eastAsia" w:ascii="仿宋_GB2312" w:hAnsi="Calibri" w:eastAsia="仿宋_GB2312" w:cs="仿宋_GB2312"/>
                <w:b w:val="0"/>
                <w:bCs/>
                <w:sz w:val="32"/>
                <w:szCs w:val="32"/>
              </w:rPr>
              <w:t>2010年10月12日正式开业。总行位于湖南长沙，内设公司业务、零售业务、小微业务、票据业务、国际业务、投资银行、金融市场、网络金融、银行卡等26个部门；现有 14家分行、161家支行（含社区支行），分支机构全面覆盖湖南14个市州。注册资本为61.61亿元人民币，其中中国华融持股50.98%。</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本行始终坚持“立足湖南、依托湖南、服务湖南、支持湖南”的发展思路，以服务湖南“四化两型”建设为基本出发点，恪守企业公民应尽的责任和义务，将社会责任意识和理念贯穿于企业发展战略、经营管理的各个环节，突出中国华融多业务牌照的综合经营特色，致力于服务地方经济、服务中小企业、服务三湘百姓，在实践中追求企业与股东、员工、客户、社会、环境等利益相关方的和谐发展。2014年，本行实现了稳健、快速、可持续发展，在促进地区经济增长、促进社会和谐、服务客户需求、关爱员工成长、参与社会公益、保护生态环境上发挥了积极作用。</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ascii="黑体" w:hAnsi="宋体" w:eastAsia="黑体" w:cs="黑体"/>
                <w:b w:val="0"/>
                <w:bCs/>
                <w:sz w:val="32"/>
                <w:szCs w:val="32"/>
              </w:rPr>
              <w:t>一、责任理念与责任治理</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ascii="楷体_GB2312" w:hAnsi="Calibri" w:eastAsia="楷体_GB2312" w:cs="楷体_GB2312"/>
                <w:b w:val="0"/>
                <w:bCs/>
                <w:sz w:val="32"/>
                <w:szCs w:val="32"/>
              </w:rPr>
              <w:t>（一）社会责任理念</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履行社会责任，坚持经济效益和社会效益、环境效益的统一，是银行提升核心竞争力的重要途径，也是本行实现可持续发展的核心战略。本行积极履行和实践企业社会责任的价值标准和行为准则，坚持“依法治行”“以德治行”，诚信展业，合规经营，维护客户利益，保障员工权益，注重环保，热心公益，回馈社会，努力塑造普惠银行、价值银行、和谐银行和绿色银行的社会形象。</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（二）社会责任议题</w:t>
            </w:r>
          </w:p>
          <w:p>
            <w:pPr>
              <w:pStyle w:val="2"/>
              <w:keepNext w:val="0"/>
              <w:keepLines w:val="0"/>
              <w:widowControl/>
              <w:suppressLineNumbers w:val="0"/>
              <w:spacing w:before="0" w:beforeAutospacing="0" w:after="0" w:afterAutospacing="0" w:line="600" w:lineRule="atLeast"/>
              <w:ind w:left="0" w:right="0" w:firstLine="640"/>
              <w:jc w:val="left"/>
              <w:rPr>
                <w:rFonts w:hint="default" w:ascii="Calibri" w:hAnsi="Calibri" w:cs="Calibri"/>
                <w:b w:val="0"/>
                <w:bCs/>
                <w:sz w:val="21"/>
                <w:szCs w:val="21"/>
              </w:rPr>
            </w:pPr>
            <w:r>
              <w:rPr>
                <w:rFonts w:hint="eastAsia" w:ascii="仿宋_GB2312" w:hAnsi="Calibri" w:eastAsia="仿宋_GB2312" w:cs="仿宋_GB2312"/>
                <w:b w:val="0"/>
                <w:bCs/>
                <w:sz w:val="32"/>
                <w:szCs w:val="32"/>
              </w:rPr>
              <w:t>2014年，本行企业社会责任工作的重点包括：建立和完善社会责任管理战略和体系，在银行发展战略和文化体系中融入社会责任理念；贯彻落实国家宏观经济政策，支持经济结构调整和发展方式转变，促进经济社会可持续发展；自觉遵守商业规则与企业价值观，做优秀企业公民；保护员工合法权益，为员工创造良好工作环境与职业发展空间；帮助弱势群体，关心社会公益，促进社会和谐发展；注重保护环境，支持节能减排，努力推进资源节约型、环境友好型社会建设。</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（三）社会责任管理</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为进一步增强全行社会责任意识，加强社会责任工作的组织领导，建立健全社会责任管理机制，系统推进社会责任工作，本行成立了社会责任工作领导小组，统筹组织推动社会责任工作。社会责任领导小组下设社会责任办公室，负责组织推进社会责任各项工作，提出社会责任目标，推广社会责任理念，撰写社会责任报告，并就社会责任事项与监管部门等保持沟通。</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（四）利益相关方沟通</w:t>
            </w:r>
          </w:p>
          <w:tbl>
            <w:tblPr>
              <w:tblW w:w="8053" w:type="dxa"/>
              <w:tblInd w:w="-1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5"/>
              <w:gridCol w:w="2412"/>
              <w:gridCol w:w="2400"/>
              <w:gridCol w:w="201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PrEx>
              <w:tc>
                <w:tcPr>
                  <w:tcW w:w="12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line="600" w:lineRule="atLeast"/>
                    <w:ind w:left="0" w:right="0"/>
                    <w:jc w:val="center"/>
                    <w:rPr>
                      <w:rFonts w:hint="default" w:ascii="Calibri" w:hAnsi="Calibri" w:cs="Calibri"/>
                      <w:b w:val="0"/>
                      <w:bCs/>
                      <w:sz w:val="21"/>
                      <w:szCs w:val="21"/>
                    </w:rPr>
                  </w:pPr>
                  <w:r>
                    <w:rPr>
                      <w:rFonts w:hint="eastAsia" w:ascii="宋体" w:hAnsi="宋体" w:eastAsia="宋体" w:cs="宋体"/>
                      <w:b w:val="0"/>
                      <w:bCs/>
                      <w:sz w:val="28"/>
                      <w:szCs w:val="28"/>
                    </w:rPr>
                    <w:t>相关方</w:t>
                  </w:r>
                </w:p>
              </w:tc>
              <w:tc>
                <w:tcPr>
                  <w:tcW w:w="2412"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line="600" w:lineRule="atLeast"/>
                    <w:ind w:left="0" w:right="0"/>
                    <w:jc w:val="center"/>
                    <w:rPr>
                      <w:rFonts w:hint="default" w:ascii="Calibri" w:hAnsi="Calibri" w:cs="Calibri"/>
                      <w:b w:val="0"/>
                      <w:bCs/>
                      <w:sz w:val="21"/>
                      <w:szCs w:val="21"/>
                    </w:rPr>
                  </w:pPr>
                  <w:r>
                    <w:rPr>
                      <w:rFonts w:hint="eastAsia" w:ascii="宋体" w:hAnsi="宋体" w:eastAsia="宋体" w:cs="宋体"/>
                      <w:b w:val="0"/>
                      <w:bCs/>
                      <w:sz w:val="28"/>
                      <w:szCs w:val="28"/>
                    </w:rPr>
                    <w:t>沟通方式</w:t>
                  </w:r>
                </w:p>
              </w:tc>
              <w:tc>
                <w:tcPr>
                  <w:tcW w:w="2400"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line="600" w:lineRule="atLeast"/>
                    <w:ind w:left="0" w:right="0"/>
                    <w:jc w:val="center"/>
                    <w:rPr>
                      <w:rFonts w:hint="default" w:ascii="Calibri" w:hAnsi="Calibri" w:cs="Calibri"/>
                      <w:b w:val="0"/>
                      <w:bCs/>
                      <w:sz w:val="21"/>
                      <w:szCs w:val="21"/>
                    </w:rPr>
                  </w:pPr>
                  <w:r>
                    <w:rPr>
                      <w:rFonts w:hint="eastAsia" w:ascii="宋体" w:hAnsi="宋体" w:eastAsia="宋体" w:cs="宋体"/>
                      <w:b w:val="0"/>
                      <w:bCs/>
                      <w:sz w:val="28"/>
                      <w:szCs w:val="28"/>
                    </w:rPr>
                    <w:t>对本行的期望</w:t>
                  </w:r>
                </w:p>
              </w:tc>
              <w:tc>
                <w:tcPr>
                  <w:tcW w:w="2016"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spacing w:before="0" w:beforeAutospacing="0" w:after="0" w:afterAutospacing="0" w:line="600" w:lineRule="atLeast"/>
                    <w:ind w:left="0" w:right="0"/>
                    <w:jc w:val="center"/>
                    <w:rPr>
                      <w:rFonts w:hint="default" w:ascii="Calibri" w:hAnsi="Calibri" w:cs="Calibri"/>
                      <w:b w:val="0"/>
                      <w:bCs/>
                      <w:sz w:val="21"/>
                      <w:szCs w:val="21"/>
                    </w:rPr>
                  </w:pPr>
                  <w:r>
                    <w:rPr>
                      <w:rFonts w:hint="eastAsia" w:ascii="宋体" w:hAnsi="宋体" w:eastAsia="宋体" w:cs="宋体"/>
                      <w:b w:val="0"/>
                      <w:bCs/>
                      <w:sz w:val="28"/>
                      <w:szCs w:val="28"/>
                    </w:rPr>
                    <w:t>沟通内容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22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ascii="仿宋" w:hAnsi="仿宋" w:eastAsia="仿宋" w:cs="仿宋"/>
                      <w:b w:val="0"/>
                      <w:bCs/>
                      <w:sz w:val="24"/>
                      <w:szCs w:val="24"/>
                    </w:rPr>
                    <w:t>股东</w:t>
                  </w:r>
                </w:p>
              </w:tc>
              <w:tc>
                <w:tcPr>
                  <w:tcW w:w="241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both"/>
                    <w:rPr>
                      <w:rFonts w:hint="default" w:ascii="Calibri" w:hAnsi="Calibri" w:cs="Calibri"/>
                      <w:b w:val="0"/>
                      <w:bCs/>
                      <w:sz w:val="21"/>
                      <w:szCs w:val="21"/>
                    </w:rPr>
                  </w:pPr>
                  <w:r>
                    <w:rPr>
                      <w:rFonts w:hint="eastAsia" w:ascii="仿宋" w:hAnsi="仿宋" w:eastAsia="仿宋" w:cs="仿宋"/>
                      <w:b w:val="0"/>
                      <w:bCs/>
                      <w:sz w:val="24"/>
                      <w:szCs w:val="24"/>
                    </w:rPr>
                    <w:t>公开信息披露，股东大会，官方网站</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both"/>
                    <w:rPr>
                      <w:rFonts w:hint="default" w:ascii="Calibri" w:hAnsi="Calibri" w:cs="Calibri"/>
                      <w:b w:val="0"/>
                      <w:bCs/>
                      <w:sz w:val="21"/>
                      <w:szCs w:val="21"/>
                    </w:rPr>
                  </w:pPr>
                  <w:r>
                    <w:rPr>
                      <w:rFonts w:hint="eastAsia" w:ascii="仿宋" w:hAnsi="仿宋" w:eastAsia="仿宋" w:cs="仿宋"/>
                      <w:b w:val="0"/>
                      <w:bCs/>
                      <w:sz w:val="24"/>
                      <w:szCs w:val="24"/>
                    </w:rPr>
                    <w:t>提供满意投资回报，取得良好经营业绩，有效管控各类风险，不断提高公司价值，保证企业可持续发展</w:t>
                  </w:r>
                </w:p>
              </w:tc>
              <w:tc>
                <w:tcPr>
                  <w:tcW w:w="201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both"/>
                    <w:rPr>
                      <w:rFonts w:hint="default" w:ascii="Calibri" w:hAnsi="Calibri" w:cs="Calibri"/>
                      <w:b w:val="0"/>
                      <w:bCs/>
                      <w:sz w:val="21"/>
                      <w:szCs w:val="21"/>
                    </w:rPr>
                  </w:pPr>
                  <w:r>
                    <w:rPr>
                      <w:rFonts w:hint="eastAsia" w:ascii="仿宋" w:hAnsi="仿宋" w:eastAsia="仿宋" w:cs="仿宋"/>
                      <w:b w:val="0"/>
                      <w:bCs/>
                      <w:sz w:val="24"/>
                      <w:szCs w:val="24"/>
                    </w:rPr>
                    <w:t>公司重要信息，重大经营决策，经营管理数据，业务创新及取得的成效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22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仿宋" w:hAnsi="仿宋" w:eastAsia="仿宋" w:cs="仿宋"/>
                      <w:b w:val="0"/>
                      <w:bCs/>
                      <w:sz w:val="24"/>
                      <w:szCs w:val="24"/>
                    </w:rPr>
                    <w:t>客户</w:t>
                  </w:r>
                </w:p>
              </w:tc>
              <w:tc>
                <w:tcPr>
                  <w:tcW w:w="241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both"/>
                    <w:rPr>
                      <w:rFonts w:hint="default" w:ascii="Calibri" w:hAnsi="Calibri" w:cs="Calibri"/>
                      <w:b w:val="0"/>
                      <w:bCs/>
                      <w:sz w:val="21"/>
                      <w:szCs w:val="21"/>
                    </w:rPr>
                  </w:pPr>
                  <w:r>
                    <w:rPr>
                      <w:rFonts w:hint="eastAsia" w:ascii="仿宋" w:hAnsi="仿宋" w:eastAsia="仿宋" w:cs="仿宋"/>
                      <w:b w:val="0"/>
                      <w:bCs/>
                      <w:sz w:val="24"/>
                      <w:szCs w:val="24"/>
                    </w:rPr>
                    <w:t>客户满意度调查，客户服务热线（96599），客户服务活动，客户经理日常联络</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both"/>
                    <w:rPr>
                      <w:rFonts w:hint="default" w:ascii="Calibri" w:hAnsi="Calibri" w:cs="Calibri"/>
                      <w:b w:val="0"/>
                      <w:bCs/>
                      <w:sz w:val="21"/>
                      <w:szCs w:val="21"/>
                    </w:rPr>
                  </w:pPr>
                  <w:r>
                    <w:rPr>
                      <w:rFonts w:hint="eastAsia" w:ascii="仿宋" w:hAnsi="仿宋" w:eastAsia="仿宋" w:cs="仿宋"/>
                      <w:b w:val="0"/>
                      <w:bCs/>
                      <w:sz w:val="24"/>
                      <w:szCs w:val="24"/>
                    </w:rPr>
                    <w:t>提供高品质的金融产品和金融服务，不断改进客户体验</w:t>
                  </w:r>
                </w:p>
              </w:tc>
              <w:tc>
                <w:tcPr>
                  <w:tcW w:w="201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both"/>
                    <w:rPr>
                      <w:rFonts w:hint="default" w:ascii="Calibri" w:hAnsi="Calibri" w:cs="Calibri"/>
                      <w:b w:val="0"/>
                      <w:bCs/>
                      <w:sz w:val="21"/>
                      <w:szCs w:val="21"/>
                    </w:rPr>
                  </w:pPr>
                  <w:r>
                    <w:rPr>
                      <w:rFonts w:hint="eastAsia" w:ascii="仿宋" w:hAnsi="仿宋" w:eastAsia="仿宋" w:cs="仿宋"/>
                      <w:b w:val="0"/>
                      <w:bCs/>
                      <w:sz w:val="24"/>
                      <w:szCs w:val="24"/>
                    </w:rPr>
                    <w:t>改善服务的措施，了解客户需求，产品服务相关资讯。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22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仿宋" w:hAnsi="仿宋" w:eastAsia="仿宋" w:cs="仿宋"/>
                      <w:b w:val="0"/>
                      <w:bCs/>
                      <w:sz w:val="24"/>
                      <w:szCs w:val="24"/>
                    </w:rPr>
                    <w:t>员工</w:t>
                  </w:r>
                </w:p>
              </w:tc>
              <w:tc>
                <w:tcPr>
                  <w:tcW w:w="241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both"/>
                    <w:rPr>
                      <w:rFonts w:hint="default" w:ascii="Calibri" w:hAnsi="Calibri" w:cs="Calibri"/>
                      <w:b w:val="0"/>
                      <w:bCs/>
                      <w:sz w:val="21"/>
                      <w:szCs w:val="21"/>
                    </w:rPr>
                  </w:pPr>
                  <w:r>
                    <w:rPr>
                      <w:rFonts w:hint="eastAsia" w:ascii="仿宋" w:hAnsi="仿宋" w:eastAsia="仿宋" w:cs="仿宋"/>
                      <w:b w:val="0"/>
                      <w:bCs/>
                      <w:sz w:val="24"/>
                      <w:szCs w:val="24"/>
                    </w:rPr>
                    <w:t>工会，合理化建议，座谈会，培训交流，内刊内网等内宣平台，绩效管理机制</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both"/>
                    <w:rPr>
                      <w:rFonts w:hint="default" w:ascii="Calibri" w:hAnsi="Calibri" w:cs="Calibri"/>
                      <w:b w:val="0"/>
                      <w:bCs/>
                      <w:sz w:val="21"/>
                      <w:szCs w:val="21"/>
                    </w:rPr>
                  </w:pPr>
                  <w:r>
                    <w:rPr>
                      <w:rFonts w:hint="eastAsia" w:ascii="仿宋" w:hAnsi="仿宋" w:eastAsia="仿宋" w:cs="仿宋"/>
                      <w:b w:val="0"/>
                      <w:bCs/>
                      <w:sz w:val="24"/>
                      <w:szCs w:val="24"/>
                    </w:rPr>
                    <w:t>合理的薪酬福利，良好的职业成长机会，满意的办公环境</w:t>
                  </w:r>
                </w:p>
              </w:tc>
              <w:tc>
                <w:tcPr>
                  <w:tcW w:w="201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both"/>
                    <w:rPr>
                      <w:rFonts w:hint="default" w:ascii="Calibri" w:hAnsi="Calibri" w:cs="Calibri"/>
                      <w:b w:val="0"/>
                      <w:bCs/>
                      <w:sz w:val="21"/>
                      <w:szCs w:val="21"/>
                    </w:rPr>
                  </w:pPr>
                  <w:r>
                    <w:rPr>
                      <w:rFonts w:hint="eastAsia" w:ascii="仿宋" w:hAnsi="仿宋" w:eastAsia="仿宋" w:cs="仿宋"/>
                      <w:b w:val="0"/>
                      <w:bCs/>
                      <w:sz w:val="24"/>
                      <w:szCs w:val="24"/>
                    </w:rPr>
                    <w:t>员工权益保障，职业生涯规划，绩效管理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22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center"/>
                    <w:rPr>
                      <w:rFonts w:hint="default" w:ascii="Calibri" w:hAnsi="Calibri" w:cs="Calibri"/>
                      <w:b w:val="0"/>
                      <w:bCs/>
                      <w:sz w:val="21"/>
                      <w:szCs w:val="21"/>
                    </w:rPr>
                  </w:pPr>
                  <w:r>
                    <w:rPr>
                      <w:rFonts w:hint="eastAsia" w:ascii="仿宋" w:hAnsi="仿宋" w:eastAsia="仿宋" w:cs="仿宋"/>
                      <w:b w:val="0"/>
                      <w:bCs/>
                      <w:sz w:val="24"/>
                      <w:szCs w:val="24"/>
                    </w:rPr>
                    <w:t>社区</w:t>
                  </w:r>
                </w:p>
              </w:tc>
              <w:tc>
                <w:tcPr>
                  <w:tcW w:w="241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both"/>
                    <w:rPr>
                      <w:rFonts w:hint="default" w:ascii="Calibri" w:hAnsi="Calibri" w:cs="Calibri"/>
                      <w:b w:val="0"/>
                      <w:bCs/>
                      <w:sz w:val="21"/>
                      <w:szCs w:val="21"/>
                    </w:rPr>
                  </w:pPr>
                  <w:r>
                    <w:rPr>
                      <w:rFonts w:hint="eastAsia" w:ascii="仿宋" w:hAnsi="仿宋" w:eastAsia="仿宋" w:cs="仿宋"/>
                      <w:b w:val="0"/>
                      <w:bCs/>
                      <w:sz w:val="24"/>
                      <w:szCs w:val="24"/>
                    </w:rPr>
                    <w:t>社区服务活动，志愿者活动，各种庆祝日的联欢</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both"/>
                    <w:rPr>
                      <w:rFonts w:hint="default" w:ascii="Calibri" w:hAnsi="Calibri" w:cs="Calibri"/>
                      <w:b w:val="0"/>
                      <w:bCs/>
                      <w:sz w:val="21"/>
                      <w:szCs w:val="21"/>
                    </w:rPr>
                  </w:pPr>
                  <w:r>
                    <w:rPr>
                      <w:rFonts w:hint="eastAsia" w:ascii="仿宋" w:hAnsi="仿宋" w:eastAsia="仿宋" w:cs="仿宋"/>
                      <w:b w:val="0"/>
                      <w:bCs/>
                      <w:sz w:val="24"/>
                      <w:szCs w:val="24"/>
                    </w:rPr>
                    <w:t>安全运营，促进社区繁荣与和谐，提供安全、健康的环境</w:t>
                  </w:r>
                </w:p>
              </w:tc>
              <w:tc>
                <w:tcPr>
                  <w:tcW w:w="201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both"/>
                    <w:rPr>
                      <w:rFonts w:hint="default" w:ascii="Calibri" w:hAnsi="Calibri" w:cs="Calibri"/>
                      <w:b w:val="0"/>
                      <w:bCs/>
                      <w:sz w:val="21"/>
                      <w:szCs w:val="21"/>
                    </w:rPr>
                  </w:pPr>
                  <w:r>
                    <w:rPr>
                      <w:rFonts w:hint="eastAsia" w:ascii="仿宋" w:hAnsi="仿宋" w:eastAsia="仿宋" w:cs="仿宋"/>
                      <w:b w:val="0"/>
                      <w:bCs/>
                      <w:sz w:val="24"/>
                      <w:szCs w:val="24"/>
                    </w:rPr>
                    <w:t>企业社会责任理念及行动，金融服务及产品风险教育，社区项目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122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left"/>
                    <w:rPr>
                      <w:rFonts w:hint="default" w:ascii="Calibri" w:hAnsi="Calibri" w:cs="Calibri"/>
                      <w:b w:val="0"/>
                      <w:bCs/>
                      <w:sz w:val="21"/>
                      <w:szCs w:val="21"/>
                    </w:rPr>
                  </w:pPr>
                  <w:r>
                    <w:rPr>
                      <w:rFonts w:hint="eastAsia" w:ascii="仿宋" w:hAnsi="仿宋" w:eastAsia="仿宋" w:cs="仿宋"/>
                      <w:b w:val="0"/>
                      <w:bCs/>
                      <w:sz w:val="24"/>
                      <w:szCs w:val="24"/>
                    </w:rPr>
                    <w:t>供应商与合作伙伴</w:t>
                  </w:r>
                </w:p>
              </w:tc>
              <w:tc>
                <w:tcPr>
                  <w:tcW w:w="241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both"/>
                    <w:rPr>
                      <w:rFonts w:hint="default" w:ascii="Calibri" w:hAnsi="Calibri" w:cs="Calibri"/>
                      <w:b w:val="0"/>
                      <w:bCs/>
                      <w:sz w:val="21"/>
                      <w:szCs w:val="21"/>
                    </w:rPr>
                  </w:pPr>
                  <w:r>
                    <w:rPr>
                      <w:rFonts w:hint="eastAsia" w:ascii="仿宋" w:hAnsi="仿宋" w:eastAsia="仿宋" w:cs="仿宋"/>
                      <w:b w:val="0"/>
                      <w:bCs/>
                      <w:sz w:val="24"/>
                      <w:szCs w:val="24"/>
                    </w:rPr>
                    <w:t>合同，协议，综合评估</w:t>
                  </w:r>
                </w:p>
              </w:tc>
              <w:tc>
                <w:tcPr>
                  <w:tcW w:w="24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both"/>
                    <w:rPr>
                      <w:rFonts w:hint="default" w:ascii="Calibri" w:hAnsi="Calibri" w:cs="Calibri"/>
                      <w:b w:val="0"/>
                      <w:bCs/>
                      <w:sz w:val="21"/>
                      <w:szCs w:val="21"/>
                    </w:rPr>
                  </w:pPr>
                  <w:r>
                    <w:rPr>
                      <w:rFonts w:hint="eastAsia" w:ascii="仿宋" w:hAnsi="仿宋" w:eastAsia="仿宋" w:cs="仿宋"/>
                      <w:b w:val="0"/>
                      <w:bCs/>
                      <w:sz w:val="24"/>
                      <w:szCs w:val="24"/>
                    </w:rPr>
                    <w:t>公平采购，诚信履约，互惠合作，实现双赢</w:t>
                  </w:r>
                </w:p>
              </w:tc>
              <w:tc>
                <w:tcPr>
                  <w:tcW w:w="201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340" w:lineRule="atLeast"/>
                    <w:ind w:left="0" w:right="0"/>
                    <w:jc w:val="both"/>
                    <w:rPr>
                      <w:rFonts w:hint="default" w:ascii="Calibri" w:hAnsi="Calibri" w:cs="Calibri"/>
                      <w:b w:val="0"/>
                      <w:bCs/>
                      <w:sz w:val="21"/>
                      <w:szCs w:val="21"/>
                    </w:rPr>
                  </w:pPr>
                  <w:r>
                    <w:rPr>
                      <w:rFonts w:hint="eastAsia" w:ascii="仿宋" w:hAnsi="仿宋" w:eastAsia="仿宋" w:cs="仿宋"/>
                      <w:b w:val="0"/>
                      <w:bCs/>
                      <w:sz w:val="24"/>
                      <w:szCs w:val="24"/>
                    </w:rPr>
                    <w:t>合规管理，产品与服务质量，进一步合作机会</w:t>
                  </w:r>
                </w:p>
              </w:tc>
            </w:tr>
          </w:tbl>
          <w:p>
            <w:pPr>
              <w:pStyle w:val="2"/>
              <w:keepNext w:val="0"/>
              <w:keepLines w:val="0"/>
              <w:widowControl/>
              <w:suppressLineNumbers w:val="0"/>
              <w:spacing w:before="0" w:beforeAutospacing="0" w:after="0" w:afterAutospacing="0" w:line="340" w:lineRule="atLeast"/>
              <w:ind w:left="0" w:right="0" w:firstLine="480"/>
              <w:jc w:val="both"/>
              <w:rPr>
                <w:rFonts w:hint="default" w:ascii="Calibri" w:hAnsi="Calibri" w:cs="Calibri"/>
                <w:b w:val="0"/>
                <w:bCs/>
                <w:sz w:val="21"/>
                <w:szCs w:val="21"/>
              </w:rPr>
            </w:pPr>
            <w:r>
              <w:rPr>
                <w:rFonts w:hint="default" w:ascii="Calibri" w:hAnsi="Calibri" w:eastAsia="宋体" w:cs="Calibri"/>
                <w:b w:val="0"/>
                <w:bCs/>
                <w:sz w:val="21"/>
                <w:szCs w:val="21"/>
              </w:rPr>
              <w:t> </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黑体" w:hAnsi="宋体" w:eastAsia="黑体" w:cs="黑体"/>
                <w:b w:val="0"/>
                <w:bCs/>
                <w:sz w:val="32"/>
                <w:szCs w:val="32"/>
              </w:rPr>
              <w:t>二、对股东的责任--持续创造价值回报</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（一）提升经营业绩，积极回报股东</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2014年，本行以“改革、创新、转型、发展”为主题，坚持“稳中求进”的工作思路，积极应对复杂的经济形势，稳步推进各项经营管理工作，全行继续保持了健康、快速发展的良好态势。截至2014年末，本行总资产1643.33亿元，较成立时增加1272.9亿元，接近成立时的5倍。各项存款1302.74亿元，一般性存款1169.93亿元，是成立时的3.87倍；各项贷款601.72亿元，是成立时的4.13倍；实现税前利润26.24亿元、净利润20.26亿元；全行实现营业收入52.18亿元，成本收入比34.26%，；网均净利润1278.56万元、人均净利润55.96万元；中间业务收入9.98亿元，占营业总收入的19.12%。在实现自身可持续发展的同时，我行坚持将发展成果惠及股东，通过现金分红等形式，保障股东获得稳定的收益。2014年10月，本行实施了2013年度红利分配，每股派发现金红利人民币0.1元（含税），共计派发现金红利544,233,271.46元（含税）。</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（二）优化治理结构，保障股东权益</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本行坚持将持续改善公司治理作为提升股东价值和投资者信心的重要手段，按照《公司法》、《商业银行法》、《股份制商业银行公司治理指引》等法律法规的和中国银监会的监管要求，不断健全公司治理制度，完善公司治理结构，为企业可持续发展提供了重要的治理保障。2014年,共召开股东大会2次，审议通过议案12项；召开董事会议8次,研究和审议重大议题52项；召开监事会会议4次，审议各类重要议案和听取重点工作报告34项；各专门委员会共召开会议9次，研究和审议重大议题40项。董事会、监事会及各专门委员会各司其职，勤勉尽责，科学决策，审议议案内容涵盖战略发展、资本规划与管理、全面风险管理、年度经营情况与财务报告、内部控制与外部审计、高管薪酬与激励、关联交易管理等一系列对本行持续经营发展具有重要意义的事项。</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（三）加强投资者关系管理，提升信息披露质量</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报告期内，本行高度重视投资者关系管理工作，规范信息披露行为，使所有股东能够公平地获得公司的公开信息，同时不断提高信息披露的标准和质量，不断增强银行治理和经营管理的透明度，努力成为投资者信赖的银行。2014年，组织编制了2013年年度报告及摘要，在本行外网及主要媒体进行了公开披露。通过走访股东、开通外网投资者关系栏目、编发《董事会工作通讯》、接待来访、电子邮箱、传真和书面信件等方式，搭建了良好的投资者交流沟通平台，增进了与投资者之间的了解与沟通。</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（四）加强风险管理，确保稳健经营</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2014年，本行继续推进全面风险管理，坚持“风险与业务发展相协调，风险与收益相均衡，风险与资本约束相适应”的风险管理原则，完善风险管理政策、组织架构、流程和工具技术，提升风险管理效率，建设覆盖所有风险的全机构、全业务、全风险、全员、全过程的全面风险管理体系。以董事会风险管理框架指引、风险偏好陈述书为总纲，制定2014年信贷政策指引，出台分行全面风险管理评价办法，组织制定内部控制体系建设三年规划，健全了全面风险管理框架体系。按照“架构清晰化、制度健全化、流程规范化、队伍专业化、手段科学化”的要求，持续夯实风险管理基础。组织开展全行风险大排查，全面排查风险隐患。加强对信用风险、操作风险、IT风险、流动性风险等重点风险的管控。全行资产质量保持优良，不良贷款率低于同业,主要指标符合监管要求，全年无重大责任事故，无案件。</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（五）加强反洗钱管理，提高反洗钱工作水平</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 xml:space="preserve">2014年，本行以“风险为本”、“提高反洗钱工作有效性”两个监管导向为中心，进一步强化反洗钱工作，完善反洗钱内控制度。参照人行要求，重新修改制定客户风险评估指标体系，对反洗钱监测报告系统内客户风险评估模块系统功能进行改造，重新修订有关洗钱风险评估及客户分类管理的内控制度。结合最新国际、国内反洗钱形势与管理要求，全面梳理、修订离岸业务、国际业务有关反洗钱的规章制度、业务流程。参照监管最新要求以及国际、国内反洗钱形势变化，进一步加强全行反洗钱、反恐怖融资黑名单的监测管理，对原有的反恐怖融资黑名单监测系统进行升级改造。进一步加强对分支机构的业务检查及辅导，加强对全行反洗钱培训和宣导力度，反洗钱工作管理水平及工作有效性得到持续提升。 </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（六）加强党风廉政建设，促进工作作风转变</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color w:val="000000"/>
                <w:sz w:val="32"/>
                <w:szCs w:val="32"/>
              </w:rPr>
              <w:t>2014年，本行认真落实党风廉政建设党委主体责任和纪委监督责任，严格执行中央“八项规定”、湖南省委“九项规定”、银监会党委“五不准”的要求，开展普法教育活动，深化廉政文化建设，加强对廉政新规和法律法规的学习教育，筑牢了廉政防线，实现了“不发一案，不倒一人”的目标。深入开展党的群众路线教育实践活动，切实抓好“两方案一计划”的整改落实，“四风”问题得到有效整治，工作作风、文风会风明显改善。全行发文较上年减少56件，简报减少4类30余期，各类会议精简5 %，三公经费大幅下降15.79%。</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黑体" w:hAnsi="宋体" w:eastAsia="黑体" w:cs="黑体"/>
                <w:b w:val="0"/>
                <w:bCs/>
                <w:sz w:val="32"/>
                <w:szCs w:val="32"/>
              </w:rPr>
              <w:t>三、对客户的责任—着力提升服务体验</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（一）加强产品与服务创新</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本行将产品与服务创新作为提升客户价值和自身竞争能力的重要手段，进一步营造创新氛围，完善创新机制，提升创新效率，在资质获取、产品开发等方面取得了重大突破，为全行业务发展和市场竞争力提升打下了坚实基础。</w:t>
            </w:r>
            <w:r>
              <w:rPr>
                <w:rFonts w:hint="eastAsia" w:ascii="仿宋_GB2312" w:hAnsi="Calibri" w:eastAsia="仿宋_GB2312" w:cs="仿宋_GB2312"/>
                <w:b w:val="0"/>
                <w:bCs/>
                <w:color w:val="000000"/>
                <w:sz w:val="32"/>
                <w:szCs w:val="32"/>
              </w:rPr>
              <w:t>2014年，</w:t>
            </w:r>
            <w:r>
              <w:rPr>
                <w:rFonts w:hint="eastAsia" w:ascii="仿宋_GB2312" w:hAnsi="Calibri" w:eastAsia="仿宋_GB2312" w:cs="仿宋_GB2312"/>
                <w:b w:val="0"/>
                <w:bCs/>
                <w:sz w:val="32"/>
                <w:szCs w:val="32"/>
              </w:rPr>
              <w:t>公司业务以政府业务资质获取为中心，积极打造政务金融特色，推广运用各级业务代理专属系统38个，获得各级代理资质67个。小微业务以重点平台聚集营销为核心，积极打造“给力贷”产品品牌体系，完善“物业贷、信义贷、信用贷”产品，推出法人账户透支、循环贷等小微企业特色产品，基本构建起覆盖小微企业生命周期的产品体系。零售业务以财富管理、消费金融、移动金融“三大引擎”为导向，推出了“华融金”、理财产品质押、中小企业私募债富盈理财产品、现金分期、汽车直贷通、机场贵宾通道等创新产品与服务，获得权威杂志《理财周报》评选的”“2014中国最佳财富管理城商行”称号，“融智理财”系列理财产品获评“2014中国最佳城商行系列理财产品”。金融市场业务成功取得资产证券化发行资格和黄金询价交易等资质，债券交易量保持全国市场“百强”地位。国际业务形成了涵盖跨境人民币信用证、短期出口信保融资、福费廷等50余种国际业务的产品体系“汇融通”，新建海内外代理行27家，全行境内外代理行机构总数达54家，在2013、2014年湖南省外管局对全省30家外汇指定银行的考评中连续获得第一名。投行业务推出了组合投资业务模式和新三板挂牌企业综合金融服务等业务，结构化融资、同业投资、中小企业私募债三类业务实现大幅增长。</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（二）加强网点建设与渠道升级</w:t>
            </w:r>
          </w:p>
          <w:p>
            <w:pPr>
              <w:pStyle w:val="2"/>
              <w:keepNext w:val="0"/>
              <w:keepLines w:val="0"/>
              <w:widowControl/>
              <w:suppressLineNumbers w:val="0"/>
              <w:spacing w:before="0" w:beforeAutospacing="0" w:after="0" w:afterAutospacing="0" w:line="600" w:lineRule="atLeast"/>
              <w:ind w:left="0" w:right="0" w:firstLine="640"/>
              <w:jc w:val="both"/>
              <w:rPr>
                <w:rFonts w:ascii="Arial" w:hAnsi="Arial" w:cs="Arial"/>
                <w:b w:val="0"/>
                <w:bCs/>
                <w:sz w:val="20"/>
                <w:szCs w:val="20"/>
              </w:rPr>
            </w:pPr>
            <w:r>
              <w:rPr>
                <w:rFonts w:hint="eastAsia" w:ascii="仿宋_GB2312" w:hAnsi="Arial" w:eastAsia="仿宋_GB2312" w:cs="仿宋_GB2312"/>
                <w:b w:val="0"/>
                <w:bCs/>
                <w:sz w:val="32"/>
                <w:szCs w:val="32"/>
              </w:rPr>
              <w:t>本行持续推进营业网点建设，机构布局卓有成效，湘西分行顺利开业，新建支行19个、新设社区支行8个，新建自助银行30个，分支机构实现了省内市州全覆盖。深入推进电子渠道建设，互联移动金融建设提速，先后推出了手机银行、微信银行、缴费平台等服务，建立了“华融e家”电子银行主品牌，手机银行“e把手”专属品牌获得客户好评。积极推进流程银行建设，提升客户服务能力，运营集中作业平台系统成功上线，集中授权项目在分行试点运行。进一步优化柜面业务处理流程，成功完成“人行二代支付系统”上线切换，图形前端系统优化持续推进，电子回单系统在分行推广试运行，业务处理效率不断提高。开展网点服务效能提升活动，推进营业网点服务分区，全行低柜使用率达到73.64%。持续推行岗位责任制、首问责任制、服务承诺制，建立网点负责人节假日代班机制，加强网点现场管理，前台服务水平和服务效率不断提升。</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（三）加强客户关系管理</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color w:val="000000"/>
                <w:sz w:val="32"/>
                <w:szCs w:val="32"/>
              </w:rPr>
              <w:t>2014年，本行努力从客户需求出发，通过强化服务管理、优化服务流程、加强服务技能培训、建立健全客户投诉机制、开展客户满意度调查活动等举措，促进了全行服务水平的提高。积极征询客户建议，</w:t>
            </w:r>
            <w:r>
              <w:rPr>
                <w:rFonts w:hint="eastAsia" w:ascii="仿宋_GB2312" w:hAnsi="Calibri" w:eastAsia="仿宋_GB2312" w:cs="仿宋_GB2312"/>
                <w:b w:val="0"/>
                <w:bCs/>
                <w:sz w:val="32"/>
                <w:szCs w:val="32"/>
              </w:rPr>
              <w:t>召开客户座谈会，收集客户意见和建议94条。积极开展业务流程和服务流程体验活动，体验流程119项，客户提出合理化建议36条。积极开展消费者权益保护工作，制定实施《华融湘江银行2014年消费者权益保护工作方案》，协助湖南省银监局编制《银行业消费者权益保护知识读本》，组织开展了“金融知识万里行”、个人金融信息保护专项自查以及金融消费者权益保护培训等活动。积极开展服务系列主题活动，组织开展网点创建活动，湘潭芙蓉支行、株洲五一支行、邵阳分行营业部、岳阳财源支行被评为“湖南省文明规范服务百佳示范单位”；组织开展感动客户服务故事评选活动，评选出 “十大感动客户服务故事”，有效增强了员工的服务意识。积极开展客户满意度调查，委托管理咨询公司进行满意度调查，调查结果显示， 2014年本行整体客户满意度为87.7%，比2013年提高2.7个百分点。加强客户投诉管理，修订《华融湘江银行客户投诉管理办法》，上线客户投诉管理系统，提高了投诉处理工作效率， 2014年本行投诉处理率达到100%，未发生一起转为法律诉讼的投诉。</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（四）加强金融知识普及</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本行在为客户提供专业的金融服务的同时，主动承担普及市民金融知识责任，帮助客户提升金融素质、增强安全意识，共同维护金融市场的稳定和持续发展。在辖内网点统一开展了为期3个月的“普及金融知识万里行”宣传活动，网点覆盖率达到100%，共组织专题宣传活动200余次，发放宣传折页5万余份。组织开展了 “金融知识进万家”活动，共开展户外宣传与展示活动100余次，制作易拉宝300个，印制宣传海报1000份，微信推送18000余人次，发放《湖南银行业消费者权益保护知识读本》1万册，受众客户量达到5万人次，有效促进了金融消费者维权意识和金融知识水平提升。</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黑体" w:hAnsi="宋体" w:eastAsia="黑体" w:cs="黑体"/>
                <w:b w:val="0"/>
                <w:bCs/>
                <w:sz w:val="32"/>
                <w:szCs w:val="32"/>
              </w:rPr>
              <w:t>四、对经济的责任—全力助推经济转型升级</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（一）服务实体经济发展</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2014年，本行积极贯彻中央“稳增长、促改革、调结构、惠民生”的精神，按照用好增量、盘活存量、优化结构、提高质量的总体思路，综合运用表内加表外、本币加外币、大公司加大零售的综合融资方式，支持实体经济发展。优先支持小微企业、涉农、科技金融、文化金融、绿色金融、民生金融和消费升级等领域的信贷需求；加大对先进制造业、战略性新兴产业、现代信息技术产业和信息消费、劳动密集型产业、现代服务业、传统农业改造升级以及绿色环保领域等支柱产业的支持力度；积极支持重大基础设施、城市基础设施、保障性安居工程项目等。2014年末全行各项贷款（含贴现）余额601.72亿元，比年初增加136.33亿元，增幅为29.29％，增额全部用于当地实体经济。同时本行强化对重点领域的风险管理，逐步压缩退出部分高风险行业，审慎开展房地产行业信贷业务，稳步把控政府融资平台贷款投放节奏，从严控制两高一剩行业的信贷投放，促进了经济结构的调整。</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（二）服务地方经济建设</w:t>
            </w:r>
            <w:r>
              <w:rPr>
                <w:rFonts w:ascii="楷体" w:hAnsi="楷体" w:eastAsia="楷体" w:cs="楷体"/>
                <w:b w:val="0"/>
                <w:bCs/>
                <w:sz w:val="32"/>
                <w:szCs w:val="32"/>
              </w:rPr>
              <w:t xml:space="preserve"> </w:t>
            </w:r>
          </w:p>
          <w:p>
            <w:pPr>
              <w:pStyle w:val="2"/>
              <w:keepNext w:val="0"/>
              <w:keepLines w:val="0"/>
              <w:widowControl/>
              <w:suppressLineNumbers w:val="0"/>
              <w:spacing w:before="0" w:beforeAutospacing="0" w:after="0" w:afterAutospacing="0" w:line="600" w:lineRule="atLeast"/>
              <w:ind w:left="0" w:right="0" w:firstLine="645"/>
              <w:jc w:val="both"/>
              <w:rPr>
                <w:rFonts w:hint="default" w:ascii="Calibri" w:hAnsi="Calibri" w:cs="Calibri"/>
                <w:b w:val="0"/>
                <w:bCs/>
                <w:sz w:val="21"/>
                <w:szCs w:val="21"/>
              </w:rPr>
            </w:pPr>
            <w:r>
              <w:rPr>
                <w:rFonts w:hint="eastAsia" w:ascii="仿宋_GB2312" w:hAnsi="Calibri" w:eastAsia="仿宋_GB2312" w:cs="仿宋_GB2312"/>
                <w:b w:val="0"/>
                <w:bCs/>
                <w:sz w:val="32"/>
                <w:szCs w:val="32"/>
              </w:rPr>
              <w:t>2014年，本行各分支机构与当地政府签订战略合作协议16个，签约金额67亿元，框架协议内投放信贷39亿元。在继续支持地市州地方经济发展的同时，重点向区县级倾斜，分别与长沙市天心区、株洲市荷塘区、湘潭县、岳阳县、溆浦县、澧县、石门县、桂阳县、南县、江华县政府签订了战略合作协议，支持县域经济的发展，成为推动地方经济发展的重要力量。</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（三）助力小微企业发展</w:t>
            </w:r>
          </w:p>
          <w:p>
            <w:pPr>
              <w:pStyle w:val="2"/>
              <w:keepNext w:val="0"/>
              <w:keepLines w:val="0"/>
              <w:widowControl/>
              <w:suppressLineNumbers w:val="0"/>
              <w:spacing w:before="0" w:beforeAutospacing="0" w:after="0" w:afterAutospacing="0" w:line="600" w:lineRule="atLeast"/>
              <w:ind w:left="0" w:right="0" w:firstLine="630"/>
              <w:jc w:val="both"/>
              <w:rPr>
                <w:rFonts w:hint="default" w:ascii="Calibri" w:hAnsi="Calibri" w:cs="Calibri"/>
                <w:b w:val="0"/>
                <w:bCs/>
                <w:sz w:val="21"/>
                <w:szCs w:val="21"/>
              </w:rPr>
            </w:pPr>
            <w:r>
              <w:rPr>
                <w:rFonts w:hint="eastAsia" w:ascii="仿宋_GB2312" w:hAnsi="Calibri" w:eastAsia="仿宋_GB2312" w:cs="仿宋_GB2312"/>
                <w:b w:val="0"/>
                <w:bCs/>
                <w:sz w:val="32"/>
                <w:szCs w:val="32"/>
              </w:rPr>
              <w:t>中小企业是支持我国经济增长，缓解社会就业压力，改善社会经济结构的重要力量，本行高度重视作为股份制商业银行应该承担的社会责任，坚持“小、精、专、新、特”的特色定位，积极探索、实践，深入开展小微企业金融服务，大力支持中小企业发展，致力于为中小企业提供高效、优质、全方位的金融服务。截至2014年12月末，全行小微贷款余额183亿元，占比30.5%，小微贷款增长全面达到“两个不低于”要求。支持中小企业融资成绩突出，本行被湖南省人民政府授予“支持地方经济建设和中小企业融资考评”一等奖。</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（四）服务“三农”经济发展</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2014年，本行积极研究新时期农村经济发展和支农金融服务，制定信贷支持政策，扩大对基层行的授权授信，增设农村金融服务网点，完善金融服务功能，努力提高支持“三农”和县域经济的服务水平。贷款投放涉及畜牧水产养殖、林业种植、农产品加工、农资产销等多个农业产业，重点支持了区域、行业龙头企业和特色企业，为新农村建设和县域经济发展作出了积极努力。2014年末，全行涉农贷款余额117.99亿元，比年初增加25.46亿元，增长27.5%，其中支农贷款余额42.70亿元，比年初增加5.8亿元，增长15.7%；支农贷款客户1885户，比年初增加350户，增长22.8%。</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黑体" w:hAnsi="宋体" w:eastAsia="黑体" w:cs="黑体"/>
                <w:b w:val="0"/>
                <w:bCs/>
                <w:sz w:val="32"/>
                <w:szCs w:val="32"/>
              </w:rPr>
              <w:t>五、对员工的责任—致力建设幸福家园</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（一）保障员工权益</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本行严格遵守国家劳动法律法规，从劳动用工、民主管理等各个方面切实维护员工合法权益。加强劳动用工的制度化、规范化管理，严格执行劳动合同法及各项劳动人事规章制度，依法与员工订立劳动合同，劳动合同签订率达100%。积极推进员工民主政治建设，重视员工的民主权利，与员工切身利益相关的重大事项必须通过职代会民主决策，保证员工有效行使民主权利。积极开展行领导接待日、征集合理化建议等活动，积极听取并实现员工诉求。</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（二）优化薪酬福利体系</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本行坚持以业绩定薪酬、以责任定待遇，构建多层次、多渠道的员工薪酬福利体系，建立企业年金计划，丰富员工养老保障体系，提高员工退休后的生活水平；完善补充医疗保险，丰富员工医疗救助体系，为员工看病就医提供进一步的保障，2014年度共计理赔1130人次，赔付率达到77%。通过以上措施，确保本行员工个人待遇与全行业务发展速度合理匹配，使员工能真正分享本行业务发展的成果，以此调动员工劳动积极性，增强凝聚力和创造力，促进本行又好又稳科学可持续发展。</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（三）促进员工成长</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本行重视人才引进和培养，关注员工职业发展需求，完善员工职业规划和发展通道，开展多层次职业培训，不断提升员工职业能力。加大人才招聘力度，2014年全行共组织专场招聘16场次，共计新增合同制在岗员工229人。畅通员工职业发展通道，拓宽员工职业发展路径，出台《华融湘江银行岗位序列评聘管理暂行办法》，统筹推进全行授信、风险、科技三大专业序列评聘工作，共组织完成两期38人授信审查人资格考试，完成IT序列77人、风险序列44人的评聘工作，专业技术序列架构基本形成。加大培训力度，全行累计组织各类培训2562期,培训人数56901人次, 全行人均培训14.1次/人，员工职业素质不断提高。</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（四）关爱员工生活</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sz w:val="32"/>
                <w:szCs w:val="32"/>
              </w:rPr>
              <w:t>本行坚持以人为本，关爱员工身心健康、开展丰富多彩的业余文化活动，关注困难员工，增强企业凝聚力。开展丰富多彩的文娱活动，行工会定期开展兴趣小组活动，积极引导职工利用业余时间，参与读书（写作）、摄影、乒乓球、羽毛球、瑜伽、舞蹈、户外、网球、游泳、太极拳等各种有益于身心健康的文体活动。积极帮扶员工，开展了特困党员、特困职工“送温暖”活动，各级工会组织共慰问困难员工81人，发放慰问金67.2万元。建立员工探视慰问制度，广泛开展节日慰问、生日慰问、生育慰问、伤病慰问、婚丧慰问等关爱活动，增强了员工的归属感。</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黑体" w:hAnsi="宋体" w:eastAsia="黑体" w:cs="黑体"/>
                <w:b w:val="0"/>
                <w:bCs/>
                <w:sz w:val="32"/>
                <w:szCs w:val="32"/>
              </w:rPr>
              <w:t>六、对社会的责任—积极服务社会和谐</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color w:val="000000"/>
                <w:sz w:val="32"/>
                <w:szCs w:val="32"/>
              </w:rPr>
              <w:t>公益慈善是社会文明发展和进步的象征，也是企业公民应尽的责任和义务。2014年，本行在不断提高自身经济效益的同时，通过支持社会公益事业、关爱贫困及弱势群体积极回报社会，促进社会和谐发展。2014年，本行对外捐赠支出共计490万元。</w:t>
            </w:r>
          </w:p>
          <w:p>
            <w:pPr>
              <w:pStyle w:val="2"/>
              <w:keepNext w:val="0"/>
              <w:keepLines w:val="0"/>
              <w:widowControl/>
              <w:suppressLineNumbers w:val="0"/>
              <w:shd w:val="clear" w:fill="FFFFFF"/>
              <w:spacing w:before="0" w:beforeAutospacing="0" w:after="0" w:afterAutospacing="0" w:line="600" w:lineRule="atLeast"/>
              <w:ind w:left="0" w:right="0" w:firstLine="640"/>
              <w:jc w:val="left"/>
              <w:rPr>
                <w:rFonts w:hint="default" w:ascii="Calibri" w:hAnsi="Calibri" w:cs="Calibri"/>
                <w:b w:val="0"/>
                <w:bCs/>
                <w:sz w:val="21"/>
                <w:szCs w:val="21"/>
              </w:rPr>
            </w:pPr>
            <w:r>
              <w:rPr>
                <w:rFonts w:hint="eastAsia" w:ascii="仿宋_GB2312" w:hAnsi="Calibri" w:eastAsia="仿宋_GB2312" w:cs="仿宋_GB2312"/>
                <w:b w:val="0"/>
                <w:bCs/>
                <w:color w:val="000000"/>
                <w:sz w:val="32"/>
                <w:szCs w:val="32"/>
                <w:shd w:val="clear" w:fill="FFFFFF"/>
              </w:rPr>
              <w:t>2014年6月，本行携手湖南省妇女联合会、湖南省妇女儿童发展基金会共同举办“温暖微行动·沅陵行”捐赠活动，为沅陵县官庄镇中心小学、楠木乡九校两所留守学校共计捐赠电脑45台、图书1000册以及书包、文具盒、水壶等学习用品，帮助孩子们解决学习、生活中遇到的困难，帮助孩子们与外出工作的父母通过网络多见面、多联系。</w:t>
            </w:r>
          </w:p>
          <w:p>
            <w:pPr>
              <w:pStyle w:val="2"/>
              <w:keepNext w:val="0"/>
              <w:keepLines w:val="0"/>
              <w:widowControl/>
              <w:suppressLineNumbers w:val="0"/>
              <w:shd w:val="clear" w:fill="FFFFFF"/>
              <w:spacing w:before="0" w:beforeAutospacing="0" w:after="0" w:afterAutospacing="0" w:line="600" w:lineRule="atLeast"/>
              <w:ind w:left="0" w:right="0" w:firstLine="640"/>
              <w:jc w:val="left"/>
              <w:rPr>
                <w:rFonts w:hint="default" w:ascii="Calibri" w:hAnsi="Calibri" w:cs="Calibri"/>
                <w:b w:val="0"/>
                <w:bCs/>
                <w:sz w:val="21"/>
                <w:szCs w:val="21"/>
              </w:rPr>
            </w:pPr>
            <w:r>
              <w:rPr>
                <w:rFonts w:hint="eastAsia" w:ascii="仿宋_GB2312" w:hAnsi="Calibri" w:eastAsia="仿宋_GB2312" w:cs="仿宋_GB2312"/>
                <w:b w:val="0"/>
                <w:bCs/>
                <w:color w:val="000000"/>
                <w:sz w:val="32"/>
                <w:szCs w:val="32"/>
                <w:shd w:val="clear" w:fill="FFFFFF"/>
              </w:rPr>
              <w:t>2014年7月，本行捐款320万元开展了援助千名学子的“绿色助学行动”。活动以“心系寒门学子•绿色助学圆梦”为主题，旨在资助家境贫寒、品学兼优的高中毕业生顺利转入大学阶段学习。从2014年开始，每年对1000名贫困学生给予经济资助，员工自愿与受助学生结成互助对子，开展“手拉手”活动，进行一对一帮扶。同时，本行每年组织开展绿色公益夏令营、“三下乡”等社会实践活动，并为受助学生在实习、就业等方面提供支持帮助。通过物质上的帮助、学习上的指导、思想上的引导，全方位帮助其成长成才，并通过他们将爱心传递给更多需要帮助的人。</w:t>
            </w:r>
          </w:p>
          <w:p>
            <w:pPr>
              <w:pStyle w:val="2"/>
              <w:keepNext w:val="0"/>
              <w:keepLines w:val="0"/>
              <w:widowControl/>
              <w:suppressLineNumbers w:val="0"/>
              <w:shd w:val="clear" w:fill="FFFFFF"/>
              <w:spacing w:before="0" w:beforeAutospacing="0" w:after="0" w:afterAutospacing="0" w:line="600" w:lineRule="atLeast"/>
              <w:ind w:left="0" w:right="0" w:firstLine="640"/>
              <w:jc w:val="left"/>
              <w:rPr>
                <w:rFonts w:hint="default" w:ascii="Calibri" w:hAnsi="Calibri" w:cs="Calibri"/>
                <w:b w:val="0"/>
                <w:bCs/>
                <w:sz w:val="21"/>
                <w:szCs w:val="21"/>
              </w:rPr>
            </w:pPr>
            <w:r>
              <w:rPr>
                <w:rFonts w:hint="eastAsia" w:ascii="仿宋_GB2312" w:hAnsi="Calibri" w:eastAsia="仿宋_GB2312" w:cs="仿宋_GB2312"/>
                <w:b w:val="0"/>
                <w:bCs/>
                <w:color w:val="000000"/>
                <w:sz w:val="32"/>
                <w:szCs w:val="32"/>
                <w:shd w:val="clear" w:fill="FFFFFF"/>
              </w:rPr>
              <w:t>2014年9月，本行联合中国华融三家子公司共同捐资200万元援建的“华融湘西民族学校”教学大楼在凤凰县落潮井乡正式落成，为凤凰少数民族地区教育事业发展贡献力量。</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黑体" w:hAnsi="宋体" w:eastAsia="黑体" w:cs="黑体"/>
                <w:b w:val="0"/>
                <w:bCs/>
                <w:sz w:val="32"/>
                <w:szCs w:val="32"/>
              </w:rPr>
              <w:t>七、对环境的责任—全力助推“两型”建设</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（一）践行绿色信贷</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仿宋_GB2312" w:hAnsi="Calibri" w:eastAsia="仿宋_GB2312" w:cs="仿宋_GB2312"/>
                <w:b w:val="0"/>
                <w:bCs/>
                <w:color w:val="000000"/>
                <w:sz w:val="32"/>
                <w:szCs w:val="32"/>
              </w:rPr>
              <w:t>2014年，本行</w:t>
            </w:r>
            <w:r>
              <w:rPr>
                <w:rFonts w:hint="eastAsia" w:ascii="仿宋_GB2312" w:hAnsi="Calibri" w:eastAsia="仿宋_GB2312" w:cs="仿宋_GB2312"/>
                <w:b w:val="0"/>
                <w:bCs/>
                <w:sz w:val="32"/>
                <w:szCs w:val="32"/>
              </w:rPr>
              <w:t>大力倡导“绿色信贷”理念，严格执行绿色信贷政策的有关规定，积极调整优化信贷结构，建立健全绿色信贷发展长效</w:t>
            </w:r>
            <w:r>
              <w:rPr>
                <w:rFonts w:hint="eastAsia" w:ascii="仿宋_GB2312" w:hAnsi="Calibri" w:eastAsia="仿宋_GB2312" w:cs="仿宋_GB2312"/>
                <w:b w:val="0"/>
                <w:bCs/>
                <w:color w:val="000000"/>
                <w:sz w:val="32"/>
                <w:szCs w:val="32"/>
              </w:rPr>
              <w:t>机制</w:t>
            </w:r>
            <w:r>
              <w:rPr>
                <w:rFonts w:hint="eastAsia" w:ascii="仿宋_GB2312" w:hAnsi="Calibri" w:eastAsia="仿宋_GB2312" w:cs="仿宋_GB2312"/>
                <w:b w:val="0"/>
                <w:bCs/>
                <w:sz w:val="32"/>
                <w:szCs w:val="32"/>
              </w:rPr>
              <w:t>，创新和培育绿色信贷新的增长点，促进循环经济、节能减排和低碳经济发展。研究制定了《信贷政策指引》、《授信业务十不贷》等制度。对不符合产业政策和环境违污的企业和项目进行信贷控制，对涉及环境和社会风险以及“两高一剩”行业的客户进行名单制管理，年末全行“两高一剩”行业贷款余额为47015万元，占全行各项贷款余额的0.8%，比年初减少15085万元，下降0.5个百分点。加大对节能环保项目的信贷支持，年末节能环保项目及服务贷款余额为144664万元，占全行各项贷款余额的2.4%，比年初增加56558万元。从贷款支持的项目及服务分类来看，绿色农业开发项目贷款余额为17310万元；绿色林业开发项目贷款余额为16540万元；工业节能节水环保项目贷款余额为3750万元；资源循环利用项目贷款余额为37444万元；垃圾处理及污染防治项目贷款余额为3150万元；可再生能源及清洁能源项目贷款余额为9850万元；农村及城市水项目贷款余额为2620万元；建筑节能及绿色建筑贷款余额为8000万元；绿色交通运输项目贷款余额为46000万元。通过加大对低碳经济的信贷支持力度，2014年本行节能环保项目及服务信贷支持的企业节约标准煤和水资源20178.7吨和904780吨，削减化学需氧量1000.07吨，减排二氧化碳、氨氮和二氧化硫12132.89吨、76.93吨和2554.17吨，节能减排成效显著。</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（二）倡导绿色运营</w:t>
            </w:r>
          </w:p>
          <w:p>
            <w:pPr>
              <w:pStyle w:val="2"/>
              <w:keepNext w:val="0"/>
              <w:keepLines w:val="0"/>
              <w:widowControl/>
              <w:suppressLineNumbers w:val="0"/>
              <w:spacing w:before="0" w:beforeAutospacing="0" w:after="0" w:afterAutospacing="0" w:line="600" w:lineRule="atLeast"/>
              <w:ind w:left="0" w:right="0" w:firstLine="627"/>
              <w:jc w:val="left"/>
              <w:rPr>
                <w:rFonts w:hint="default" w:ascii="Calibri" w:hAnsi="Calibri" w:cs="Calibri"/>
                <w:b w:val="0"/>
                <w:bCs/>
                <w:sz w:val="21"/>
                <w:szCs w:val="21"/>
              </w:rPr>
            </w:pPr>
            <w:r>
              <w:rPr>
                <w:rFonts w:hint="eastAsia" w:ascii="仿宋_GB2312" w:hAnsi="Calibri" w:eastAsia="仿宋_GB2312" w:cs="仿宋_GB2312"/>
                <w:b w:val="0"/>
                <w:bCs/>
                <w:sz w:val="32"/>
                <w:szCs w:val="32"/>
              </w:rPr>
              <w:t>本行坚持将环保理念贯穿于日常运营的全过程，将绿色环保纳入日常工作中，培养每一位员工的环保意识、责任意识，做到节约用水、节约用纸，实现逐年降低能耗量。积极倡导“绿色办公、节约办公”理念，在全行开展了“绿色办公随手微行动”、“低碳环保乐生活”、“悠悠自然风”节能体验活动等系列行动，打造低碳工作环境。完善视频会议设备，充分提高视频会议系统使用频率，需各分、支行参加的会议，尽量采用视频形式召开，有效降低会议成本和碳排放量。提倡办公用品循环使用、纸张双面使用；积极开展无纸化办公，尽量通过电子邮件沟通工作，利用公司网上办公系统进行公文处理。2014年，本行使用电子化收发文系统共收文3273件、发文2115件。</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楷体_GB2312" w:hAnsi="Calibri" w:eastAsia="楷体_GB2312" w:cs="楷体_GB2312"/>
                <w:b w:val="0"/>
                <w:bCs/>
                <w:sz w:val="32"/>
                <w:szCs w:val="32"/>
              </w:rPr>
              <w:t>（三）开展绿色公益活动</w:t>
            </w:r>
          </w:p>
          <w:p>
            <w:pPr>
              <w:pStyle w:val="2"/>
              <w:keepNext w:val="0"/>
              <w:keepLines w:val="0"/>
              <w:widowControl/>
              <w:suppressLineNumbers w:val="0"/>
              <w:spacing w:before="0" w:beforeAutospacing="0" w:after="0" w:afterAutospacing="0" w:line="600" w:lineRule="atLeast"/>
              <w:ind w:left="0" w:right="0" w:firstLine="645"/>
              <w:jc w:val="left"/>
              <w:rPr>
                <w:rFonts w:hint="default" w:ascii="Calibri" w:hAnsi="Calibri" w:cs="Calibri"/>
                <w:b w:val="0"/>
                <w:bCs/>
                <w:sz w:val="21"/>
                <w:szCs w:val="21"/>
              </w:rPr>
            </w:pPr>
            <w:r>
              <w:rPr>
                <w:rFonts w:hint="eastAsia" w:ascii="仿宋_GB2312" w:hAnsi="Calibri" w:eastAsia="仿宋_GB2312" w:cs="仿宋_GB2312"/>
                <w:b w:val="0"/>
                <w:bCs/>
                <w:color w:val="000000"/>
                <w:sz w:val="32"/>
                <w:szCs w:val="32"/>
              </w:rPr>
              <w:t>本行积极响应湖南省委、省政府提出的“推进生态文明、建设绿色湖南”的号召，联合湖南省环保社团联合会、长沙市绿动社区共同发起“大爱筑绿城，全民抗雾霾”大型环保公益活动。2014年3月，本行开展的植树活动植树面积达20亩。</w:t>
            </w:r>
          </w:p>
          <w:p>
            <w:pPr>
              <w:pStyle w:val="2"/>
              <w:keepNext w:val="0"/>
              <w:keepLines w:val="0"/>
              <w:widowControl/>
              <w:suppressLineNumbers w:val="0"/>
              <w:spacing w:before="0" w:beforeAutospacing="0" w:after="0" w:afterAutospacing="0" w:line="600" w:lineRule="atLeast"/>
              <w:ind w:left="0" w:right="0" w:firstLine="640"/>
              <w:jc w:val="both"/>
              <w:rPr>
                <w:rFonts w:hint="default" w:ascii="Calibri" w:hAnsi="Calibri" w:cs="Calibri"/>
                <w:b w:val="0"/>
                <w:bCs/>
                <w:sz w:val="21"/>
                <w:szCs w:val="21"/>
              </w:rPr>
            </w:pPr>
            <w:r>
              <w:rPr>
                <w:rFonts w:hint="eastAsia" w:ascii="黑体" w:hAnsi="宋体" w:eastAsia="黑体" w:cs="黑体"/>
                <w:b w:val="0"/>
                <w:bCs/>
                <w:color w:val="000000"/>
                <w:sz w:val="32"/>
                <w:szCs w:val="32"/>
              </w:rPr>
              <w:t>八、未来展望</w:t>
            </w:r>
          </w:p>
          <w:p>
            <w:pPr>
              <w:pStyle w:val="2"/>
              <w:keepNext w:val="0"/>
              <w:keepLines w:val="0"/>
              <w:widowControl/>
              <w:suppressLineNumbers w:val="0"/>
              <w:spacing w:before="0" w:beforeAutospacing="0" w:after="0" w:afterAutospacing="0" w:line="600" w:lineRule="atLeast"/>
              <w:ind w:left="0" w:right="0" w:firstLine="640"/>
              <w:rPr>
                <w:rFonts w:hint="eastAsia" w:ascii="宋体" w:hAnsi="宋体" w:eastAsia="宋体" w:cs="宋体"/>
                <w:b w:val="0"/>
                <w:bCs/>
                <w:color w:val="000000"/>
                <w:sz w:val="24"/>
                <w:szCs w:val="24"/>
              </w:rPr>
            </w:pPr>
            <w:r>
              <w:rPr>
                <w:rFonts w:hint="eastAsia" w:ascii="仿宋_GB2312" w:hAnsi="宋体" w:eastAsia="仿宋_GB2312" w:cs="仿宋_GB2312"/>
                <w:b w:val="0"/>
                <w:bCs/>
                <w:color w:val="000000"/>
                <w:sz w:val="32"/>
                <w:szCs w:val="32"/>
              </w:rPr>
              <w:t>2015年，中国经济进入大变革的新时代，经济增长的动力将由要素驱动转向创新驱动，产业结构将从中低端转向中高端，资源配置将由行政主导转向市场主导，社会福祉将由失调失衡转向和谐均衡，金融改革将由浅水区步入深水区。金融业的发展将充满活力、充满希望，同时也充满挑战。</w:t>
            </w:r>
          </w:p>
          <w:p>
            <w:pPr>
              <w:pStyle w:val="2"/>
              <w:keepNext w:val="0"/>
              <w:keepLines w:val="0"/>
              <w:widowControl/>
              <w:suppressLineNumbers w:val="0"/>
              <w:spacing w:before="0" w:beforeAutospacing="0" w:after="0" w:afterAutospacing="0" w:line="600" w:lineRule="atLeast"/>
              <w:ind w:left="0" w:right="0" w:firstLine="640"/>
              <w:jc w:val="both"/>
              <w:rPr>
                <w:rFonts w:hint="default" w:ascii="Arial" w:hAnsi="Arial" w:cs="Arial"/>
                <w:b w:val="0"/>
                <w:bCs/>
                <w:sz w:val="20"/>
                <w:szCs w:val="20"/>
              </w:rPr>
            </w:pPr>
            <w:r>
              <w:rPr>
                <w:rFonts w:hint="eastAsia" w:ascii="仿宋_GB2312" w:hAnsi="Arial" w:eastAsia="仿宋_GB2312" w:cs="仿宋_GB2312"/>
                <w:b w:val="0"/>
                <w:bCs/>
                <w:color w:val="000000"/>
                <w:sz w:val="32"/>
                <w:szCs w:val="32"/>
              </w:rPr>
              <w:t xml:space="preserve">2015年，本行将坚持稳中求进的工作总基调，坚持以提高发展质效为中心、以“深化改革、转型发展”为主题、以“稳增长、调结构、控风险”为主线，主动适应经济金融新常态，着力深化体制机制改革，着力加快经营管理创新，着力强化风险防控，着力推进“依法治行、以德治行”，积极依托中国华融综合金融平台，不断打造综合金融核心优势，积极服务国家战略，积极创新产品与服务，以稳健的经营、出色的绩效，为客户、员工、股东以及社会创造更大的价值！ </w:t>
            </w:r>
          </w:p>
          <w:p>
            <w:pPr>
              <w:pStyle w:val="2"/>
              <w:keepNext w:val="0"/>
              <w:keepLines w:val="0"/>
              <w:widowControl/>
              <w:suppressLineNumbers w:val="0"/>
              <w:spacing w:before="0" w:beforeAutospacing="0" w:after="0" w:afterAutospacing="0" w:line="600" w:lineRule="atLeast"/>
              <w:ind w:left="0" w:right="0" w:firstLine="64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w:t>
            </w:r>
          </w:p>
        </w:tc>
      </w:tr>
    </w:tbl>
    <w:p>
      <w:pPr>
        <w:rPr>
          <w:b w:val="0"/>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F4A0A"/>
    <w:rsid w:val="3C105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rPr>
      <w:b/>
    </w:rPr>
  </w:style>
  <w:style w:type="character" w:styleId="8">
    <w:name w:val="HTML Definition"/>
    <w:basedOn w:val="4"/>
    <w:uiPriority w:val="0"/>
  </w:style>
  <w:style w:type="character" w:styleId="9">
    <w:name w:val="HTML Variable"/>
    <w:basedOn w:val="4"/>
    <w:uiPriority w:val="0"/>
  </w:style>
  <w:style w:type="character" w:styleId="10">
    <w:name w:val="Hyperlink"/>
    <w:basedOn w:val="4"/>
    <w:uiPriority w:val="0"/>
    <w:rPr>
      <w:color w:val="333333"/>
      <w:u w:val="none"/>
    </w:rPr>
  </w:style>
  <w:style w:type="character" w:styleId="11">
    <w:name w:val="HTML Code"/>
    <w:basedOn w:val="4"/>
    <w:uiPriority w:val="0"/>
    <w:rPr>
      <w:rFonts w:ascii="Courier New" w:hAnsi="Courier New"/>
      <w:sz w:val="20"/>
    </w:rPr>
  </w:style>
  <w:style w:type="character" w:styleId="12">
    <w:name w:val="HTML Cite"/>
    <w:basedOn w:val="4"/>
    <w:uiPriority w:val="0"/>
  </w:style>
  <w:style w:type="character" w:styleId="13">
    <w:name w:val="HTML Keyboard"/>
    <w:basedOn w:val="4"/>
    <w:uiPriority w:val="0"/>
    <w:rPr>
      <w:rFonts w:ascii="Courier New" w:hAnsi="Courier New"/>
      <w:sz w:val="20"/>
    </w:rPr>
  </w:style>
  <w:style w:type="character" w:styleId="14">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沉默</cp:lastModifiedBy>
  <dcterms:modified xsi:type="dcterms:W3CDTF">2020-05-28T01:49:38Z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