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4" w:space="9"/>
          <w:right w:val="none" w:color="auto" w:sz="0" w:space="0"/>
        </w:pBdr>
        <w:spacing w:before="120" w:beforeAutospacing="0" w:line="3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4" w:space="9"/>
          <w:right w:val="none" w:color="auto" w:sz="0" w:space="0"/>
        </w:pBdr>
        <w:spacing w:before="120" w:beforeAutospacing="0" w:line="3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bdr w:val="none" w:color="auto" w:sz="0" w:space="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bdr w:val="none" w:color="auto" w:sz="0" w:space="0"/>
          <w:lang w:val="en-US" w:eastAsia="zh-CN" w:bidi="ar"/>
        </w:rPr>
        <w:t>华融湘江银行2017年度社会责任报告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4" w:space="9"/>
          <w:right w:val="none" w:color="auto" w:sz="0" w:space="0"/>
        </w:pBdr>
        <w:spacing w:before="120" w:beforeAutospacing="0" w:line="3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bdr w:val="none" w:color="auto" w:sz="0" w:space="0"/>
          <w:lang w:val="en-US" w:eastAsia="zh-CN" w:bidi="ar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hAnsi="仿宋" w:eastAsia="仿宋" w:cs="仿宋"/>
          <w:sz w:val="32"/>
          <w:szCs w:val="32"/>
        </w:rPr>
        <w:t>2017</w:t>
      </w:r>
      <w:r>
        <w:rPr>
          <w:rFonts w:hint="eastAsia" w:ascii="仿宋" w:hAnsi="仿宋" w:eastAsia="仿宋" w:cs="仿宋"/>
          <w:sz w:val="32"/>
          <w:szCs w:val="32"/>
        </w:rPr>
        <w:t>年，本行坚持“立足湖南、依托湖南、服务湖南、支持湖南”的发展思路，恪守企业应尽的社会责任，将社会责任贯穿于企业经营管理的各个环节，致力于服务地方经济、服务中小企业、服务三湘百姓，追求企业与股东、员工、客户、社会、环境等利益相关方的和谐发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黑体" w:hAnsi="宋体" w:eastAsia="黑体" w:cs="黑体"/>
          <w:sz w:val="32"/>
          <w:szCs w:val="32"/>
        </w:rPr>
        <w:t>一、保障股东权益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楷体" w:hAnsi="楷体" w:eastAsia="楷体" w:cs="楷体"/>
          <w:sz w:val="32"/>
          <w:szCs w:val="32"/>
        </w:rPr>
        <w:t>(</w:t>
      </w:r>
      <w:r>
        <w:rPr>
          <w:rFonts w:hint="eastAsia" w:ascii="楷体" w:hAnsi="楷体" w:eastAsia="楷体" w:cs="楷体"/>
          <w:sz w:val="32"/>
          <w:szCs w:val="32"/>
        </w:rPr>
        <w:t>一)股东回报良好。</w:t>
      </w:r>
      <w:r>
        <w:rPr>
          <w:rFonts w:hint="eastAsia" w:ascii="仿宋" w:hAnsi="仿宋" w:eastAsia="仿宋" w:cs="仿宋"/>
          <w:sz w:val="32"/>
          <w:szCs w:val="32"/>
        </w:rPr>
        <w:t>2017年，本行积极应对复杂的经济形势，按照“稳健稳定、夯实基础、创新转型、合规发展”的经营管理总体要求，稳步推进各项经营管理工作，取得了良好的经营业绩和管理成效。全年实现净利润25.10亿元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，核心一级资本充足率、资本充足率分别提高至9.86%、13.22%；不良贷款率1.48%；拨贷比2.36%，拨备覆盖率159.14%。主要经营指标均符合或优于监管标准。</w:t>
      </w:r>
      <w:r>
        <w:rPr>
          <w:rFonts w:hint="eastAsia" w:ascii="仿宋" w:hAnsi="仿宋" w:eastAsia="仿宋" w:cs="仿宋"/>
          <w:sz w:val="32"/>
          <w:szCs w:val="32"/>
        </w:rPr>
        <w:t xml:space="preserve">实施了2016年度红利分配，每股现金分红0.1元（含税），共计分红6.16亿元（含税）。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（二）强化投资者关系管理。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报告期内，本行高度重视投资者关系管理，不断提高信息披露的质量，及时、全面、规范地公开披露信息，不断增强银行公司治理和经营管理的透明度，保障所有股东公平获得公司的经营管理信息。组织编制并在本行外网及主要媒体公开披露了2016年年度报告，通过上门走访、来访接待等方式，增进了与股东及投资者的沟通与了解。持续为股东办理股权变更及质押等股权事项，为股东提供优质高效的服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二、助推地方经济发展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（三）大力支持重大战略项目建设。</w:t>
      </w:r>
      <w:r>
        <w:rPr>
          <w:rFonts w:hint="eastAsia" w:ascii="仿宋" w:hAnsi="仿宋" w:eastAsia="仿宋" w:cs="仿宋"/>
          <w:sz w:val="32"/>
          <w:szCs w:val="32"/>
        </w:rPr>
        <w:t>我行积极服务湖南“创新引领、开放崛起”发展战略，主动对接“一带一路”、长江经济带发展等重要领域及重大基础设施建设，综合运用贷款、基金、PPP等产品，重点支持交通、水利、能源、信息“四张网”建设，“两房两棚”、“两供两治”、医疗教育、健康养老等民生项目，湘江保护和治理“一号重点工程”、洞庭湖和四水流域水环境综合治理和农村环境整治。截至2017年末，我行参与政府投资基金14只，投入资金余额合计98.5亿元，当年新增投放41.5亿元；支持PPP项目2个，当年新增贷款2.05亿元，贷款余额为3.69亿元；支持政府购买服务项目共115个，贷款、表内非信贷及表外融资余额333.67亿元；支持综合立体交通走廊建设贷款5亿元，表内非信贷及表外融资6.3亿元；支持环保民生项目融资231.63亿元，其中贷款余额142.56亿元，表内非信贷及表外融资89.07亿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（四）积极支持产业金融发展。</w:t>
      </w:r>
      <w:r>
        <w:rPr>
          <w:rFonts w:hint="eastAsia" w:ascii="仿宋" w:hAnsi="仿宋" w:eastAsia="仿宋" w:cs="仿宋"/>
          <w:sz w:val="32"/>
          <w:szCs w:val="32"/>
        </w:rPr>
        <w:t>积极把握宏观经济调整和产业转型升级需求，支持淘汰落后产能，帮助重点企业脱困和技改升级，同时推动战略性新兴产业成长。大力支持湖南省各地市州的国家级和省级经开区、高新区、产业园区、工业集中区、产业示范基地、保税区建设，通过表内贷款、表外或非信贷融资的形式，支持园区建设、扶持园区企业发展，在湖南节能环保、信息、生物产业、先进装备制造、新材料、新能源和文化创意产业等产业金融领域累计投放资金356.1亿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（五）切实提升小微企业金融服务。</w:t>
      </w:r>
      <w:r>
        <w:rPr>
          <w:rFonts w:hint="eastAsia" w:ascii="仿宋" w:hAnsi="仿宋" w:eastAsia="仿宋" w:cs="仿宋"/>
          <w:sz w:val="32"/>
          <w:szCs w:val="32"/>
        </w:rPr>
        <w:t>通过加大资源倾斜保障信贷投放、加强产品创新和机构合作、设定合理的不良容忍度、单列信贷计划等措施，切实解决小微企业融资难题，支持小微企业发展。针对小微企业特点，新开发了给力卡、粮食贷、油茶贷、农户精准扶贫贷款、政府采购贷款等产品，优化了税联贷、创业贷、银担贷等产品，进一步完善了产品体系、提升了产品适用性。实施模式化经营，批量解决小微客户融资需求。2017年末，小微贷款余额460.43 亿元，较年初增加115.92亿元，增速达33.65%；小微贷款客户6151户，较年初增长862户，小微贷款申贷获得率95.21%，小微贷款“三个不低于”持续月月达标。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（六）着力服务“三农”经济发展。</w:t>
      </w:r>
      <w:r>
        <w:rPr>
          <w:rFonts w:hint="eastAsia" w:ascii="仿宋" w:hAnsi="仿宋" w:eastAsia="仿宋" w:cs="仿宋"/>
          <w:sz w:val="32"/>
          <w:szCs w:val="32"/>
        </w:rPr>
        <w:t>通过产品创新、服务模式创新、实行倾斜的信贷政策，多措并举，积极开展涉农信贷业务，着力服务三农经济发展。稳妥推进“两权”抵押贷款试点，落地“两权”抵押贷款12笔、1036.5万元。深化与省内担保公司的合作，推出“惠农担-粮食贷”、“惠农担-油茶贷”等产品，支持地方粮食生产、油茶种植等特色农业产业发展，落地“惠农担”贷款11笔、金额4810万元。积极开展模式化三农金融服务，重点支持了湘潭槟榔、岳阳水产、邵阳皮革、益阳苗木、醴陵瓷器、安化黑茶等地方特色涉农产业发展。2017年末，我行涉农贷款余额257.39亿元，较年初增加62.91亿元，增速达32.35%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（七）积极推动消费升级和民生项目发展。</w:t>
      </w:r>
      <w:r>
        <w:rPr>
          <w:rFonts w:hint="eastAsia" w:ascii="仿宋" w:hAnsi="仿宋" w:eastAsia="仿宋" w:cs="仿宋"/>
          <w:sz w:val="32"/>
          <w:szCs w:val="32"/>
        </w:rPr>
        <w:t>结合服务消费、信息消费、绿色消费、时尚消费、品质消费和农村消费六大重点领域的需求，积极创新和改进金融产品和服务，进一步完善个人综合消费贷款产品，加大消费贷款投放。2017末全行消费贷款余额265.7亿元，较年初新增111.2亿元。大力发展信用卡消费现金分期业务，优化业务流程，促进区域内消费升级,2017年度信用卡分期业务交易额11.35亿元。积极支持民生行业项目，推出供水、供电、供气、养老等行业授信政策，全行民生领域授信余额289.41亿元，较年初新增201.54亿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三、增进员工关怀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（八）维护员工权益。</w:t>
      </w:r>
      <w:r>
        <w:rPr>
          <w:rFonts w:hint="eastAsia" w:ascii="仿宋" w:hAnsi="仿宋" w:eastAsia="仿宋" w:cs="仿宋"/>
          <w:sz w:val="32"/>
          <w:szCs w:val="32"/>
        </w:rPr>
        <w:t>严格遵守《劳动法》、《劳动合同法》、《工会法》等法律法规，保障所有员工的合法权益，银行与工会续签了《集体合同》和《女职工权益保护专项集体合同》，劳动合同签订率100%；严格执行国家社会保障法律法规，按时、足额缴纳社会保险，覆盖率为100％；充分发挥职代会的功能，依法保障职工参与民主管理、民主决策、民主监督的权力，鼓励员工为企业发展建言献策；努力为员工提供健康、安全的工作环境，关注员工职业健康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（九）关注员工成长。</w:t>
      </w:r>
      <w:r>
        <w:rPr>
          <w:rFonts w:hint="eastAsia" w:ascii="仿宋" w:hAnsi="仿宋" w:eastAsia="仿宋" w:cs="仿宋"/>
          <w:sz w:val="32"/>
          <w:szCs w:val="32"/>
        </w:rPr>
        <w:t>本行倡导“培训普惠制”、“培训是福利”的培训理念，建立了覆盖新员工入职培训、管理人员能力提升、管理培训生素质提升、各专业条线业务培训等全方位、多层次的培训体系。2017年全行举办各类培训1226期，培训人员45528人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。大力推进“华银网上学院”平台应用，累计学习内部课程 127092 门次，学习共享课程 36779 门次。</w:t>
      </w:r>
      <w:r>
        <w:rPr>
          <w:rFonts w:hint="eastAsia" w:ascii="仿宋" w:hAnsi="仿宋" w:eastAsia="仿宋" w:cs="仿宋"/>
          <w:sz w:val="32"/>
          <w:szCs w:val="32"/>
        </w:rPr>
        <w:t>持续完善员工职业发展通道，修订了《华融湘江银行行员等级管理办法（试行）》、《华融湘江银行专业序列评聘管理办法》，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岗位层级更加健全，专业序列晋升渠道与管理体系得到进一步完善，</w:t>
      </w:r>
      <w:r>
        <w:rPr>
          <w:rFonts w:hint="eastAsia" w:ascii="仿宋" w:hAnsi="仿宋" w:eastAsia="仿宋" w:cs="仿宋"/>
          <w:sz w:val="32"/>
          <w:szCs w:val="32"/>
        </w:rPr>
        <w:t>员工职业发展通道更加通畅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（十）致力员工关爱。</w:t>
      </w:r>
      <w:r>
        <w:rPr>
          <w:rFonts w:hint="eastAsia" w:ascii="仿宋" w:hAnsi="仿宋" w:eastAsia="仿宋" w:cs="仿宋"/>
          <w:sz w:val="32"/>
          <w:szCs w:val="32"/>
        </w:rPr>
        <w:t>本行坚持以人为本，关爱员工身心健康、开展丰富多彩的业余文化活动，关注困难员工，增强企业凝聚力。搭建文体兴趣平台，积极引导职工利用业余时间，参与读书、摄影、乒乓球、羽毛球、瑜伽、舞蹈、篮球、足球、网球、游泳等各种有益于身心健康的文体活动。积极帮扶困难员工，2017年各级工会开展“送温暖”活动，共慰问困难员工78人，发放慰问金27.4万元。加入“中国华融员工大病救助基金”和“中国华融爱心信托”， 2017年帮助11名员工申请大病救助、爱心信托基层共计9万元。继续开展为员工办实事工作，组织开展 “健步向未来”员工健步行、“绿行家”亲子20公里徒步公益筹款等活动、推行“母婴关爱计划”和组织先进员工疗休养活动等实事，增强了员工的归属感。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四、提升客户体验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（十一）加强产品和渠道创新</w:t>
      </w:r>
      <w:r>
        <w:rPr>
          <w:rFonts w:hint="eastAsia" w:ascii="仿宋" w:hAnsi="仿宋" w:eastAsia="仿宋" w:cs="仿宋"/>
          <w:sz w:val="32"/>
          <w:szCs w:val="32"/>
        </w:rPr>
        <w:t>。加大业务和产品创新力度，推出首款智慧定活期储蓄存款产品“悦心存1、2号”、互联网消费贷款产品“融安贷”、小微特色产品“给力卡”、普惠金融产品“粮食贷、油茶贷”、个人理财产品“智能投顾”等一系列贴近市场的产品，打造多元化的金融产品体系，满足不同层次消费者的金融需求。优化渠道功能，累计完成电子银行功能升级和客户体验优化项目超过240项。完成官方网站、微信公众号、手机银行及网上银行的信用卡业务受理平台建设，形成全流程的线上处理能力。加大轻型柜台投入，扩充轻型柜台业务功能，深化“客户自助+网点辅助”的轻柜服务模式。共计投放轻型柜台282台，轻型低柜实现网点全覆盖，轻型柜台新增信用卡等业务种类70余项。通过轻型柜台业务分流和网点服务岗位融合，增加厅堂服务人员，进一步改善客户服务体验，提升了客户整体满意度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（十二）持续提升服务质量。</w:t>
      </w:r>
      <w:r>
        <w:rPr>
          <w:rFonts w:hint="eastAsia" w:ascii="仿宋" w:hAnsi="仿宋" w:eastAsia="仿宋" w:cs="仿宋"/>
          <w:sz w:val="32"/>
          <w:szCs w:val="32"/>
        </w:rPr>
        <w:t>启动“第三届华融听您言”客户创意征集活动，广泛征集客户对我行系统、产品、服务、流程等方面的创意，以改善客户体验。积极开展星级网点创建工作，树立服务标杆，2017年成功创建6家全国文明规范服务星级示范网点。积极推进网点融贯计划2.0项目，有效促进网点服务岗位的互融互通，增强网点服务客户的合力。积极开展“走进华融感受融情”“运营流程设计大赛”等系列活动，推动业务流程优化，打造特色厅堂服务文化，提升客户满意度和社会美誉度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持续强化运营风险管控系统建设，提升风险监测</w:t>
      </w:r>
      <w:r>
        <w:rPr>
          <w:rFonts w:hint="eastAsia" w:ascii="仿宋" w:hAnsi="仿宋" w:eastAsia="仿宋" w:cs="仿宋"/>
          <w:sz w:val="32"/>
          <w:szCs w:val="32"/>
        </w:rPr>
        <w:t>精准化水平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，网点差错率同比下降万分之0.14</w:t>
      </w:r>
      <w:r>
        <w:rPr>
          <w:rFonts w:hint="eastAsia" w:ascii="仿宋" w:hAnsi="仿宋" w:eastAsia="仿宋" w:cs="仿宋"/>
          <w:sz w:val="32"/>
          <w:szCs w:val="32"/>
        </w:rPr>
        <w:t>。加强客户投诉管理，完善投诉管理系统，有效提升客户投诉处理效率，加强投诉分析和结果应用，实现有效投诉的持续下降，2017年客户投诉办结率达到100%，投诉处理满意度达90%以上。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（十三）加强消费者权益保护。</w:t>
      </w:r>
      <w:r>
        <w:rPr>
          <w:rFonts w:hint="eastAsia" w:ascii="仿宋" w:hAnsi="仿宋" w:eastAsia="仿宋" w:cs="仿宋"/>
          <w:sz w:val="32"/>
          <w:szCs w:val="32"/>
        </w:rPr>
        <w:t>本行积极履行安全保障义务，加强电子渠道安防手段，新增网上银行和手机银行转账汇款隔日到账、直销银行身份证扫描和银行卡扫描录入等功能，完善包括电子渠道登录密码复杂度校验、手机银行指纹登录等安全认证和防范技术，进一步保障客户信息及账户资金安全；加强销售行为管理，积极推进营业网点理财及代销业务的“专区、双录、三公示”制度，禁止其他任何人员在营业网点开展任何形式的营销活动。积极履行信息保护义务，开展对外包服务供应商保护个人金融信息能力的审查、评估及检查，防范外包服务信息泄露风险；强化征信系统建设，规范电子授权、影像等电子档案管理；完成银联渠道的国密改造项目，客户关键信息均通过加密后传输和存储，保障客户信息安全。积极履行信息披露义务，根据监管政策调整及业务发展需要，对部分服务价格标准进行了调整并按要求进行公示，保障客户的知情权。积极履行公平交易义务，组织开展法律文书清理和修订工作，对格式合同条款、服务协议文本进行修订完善，保障客户的公平交易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五、助建和谐社会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（十四）致力金融精准扶贫。</w:t>
      </w:r>
      <w:r>
        <w:rPr>
          <w:rFonts w:hint="eastAsia" w:ascii="仿宋" w:hAnsi="仿宋" w:eastAsia="仿宋" w:cs="仿宋"/>
          <w:sz w:val="32"/>
          <w:szCs w:val="32"/>
        </w:rPr>
        <w:t>有序推进金融扶贫服务站建设和驻村扶贫工作，2017年新建20家金融扶贫服务站，总数达31家。通过提供多样化的金融服务，因地制宜开展驻村扶贫工作，注重以项目带动和产业发展为引领，立足贫困地区实际，加大贫困地区信贷投放力度，增强贫困地区“造血”功能。多措并举开展扶贫信贷业务，通过产业扶贫、项目扶贫、创业贷款等多种形式开展扶贫工作，截至2017年末，发放个人扶贫贷款721笔、余额1.52亿元，产业扶贫贷款106笔、余额15.23亿元，项目扶贫贷款14笔、余额4.85亿元，共带动4万余贫困人口就业。我行湘西分行、湘潭分行被人民银行长沙中心支行评为“湖南省发展普惠金融工作先进单位”，两名同志被评为“湖南省金融扶贫专项竞赛先进个人”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（十五）积极帮扶弱势群体。</w:t>
      </w:r>
      <w:r>
        <w:rPr>
          <w:rFonts w:hint="eastAsia" w:ascii="仿宋" w:hAnsi="仿宋" w:eastAsia="仿宋" w:cs="仿宋"/>
          <w:sz w:val="32"/>
          <w:szCs w:val="32"/>
        </w:rPr>
        <w:t>持续帮扶贫困学子，连续第四年开展“绿色助学行动”，捐资320万元帮助1000名寒门学子顺利迈入大学校园。积极开展赈灾救济，2017年分别向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望城、宁乡捐赠爱心赈灾款100万元，支持望城、宁乡抗洪救灾和灾后重建。</w:t>
      </w:r>
      <w:r>
        <w:rPr>
          <w:rFonts w:hint="eastAsia" w:ascii="仿宋" w:hAnsi="仿宋" w:eastAsia="仿宋" w:cs="仿宋"/>
          <w:sz w:val="32"/>
          <w:szCs w:val="32"/>
        </w:rPr>
        <w:t>2017年全年各项对外捐助累计达到886万元，为社会慈善公益事业做出了贡献。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（十六）热心参与公益活动。</w:t>
      </w:r>
      <w:r>
        <w:rPr>
          <w:rFonts w:hint="eastAsia" w:ascii="仿宋" w:hAnsi="仿宋" w:eastAsia="仿宋" w:cs="仿宋"/>
          <w:sz w:val="32"/>
          <w:szCs w:val="32"/>
        </w:rPr>
        <w:t>积极组织青年员工参加金融知识宣传、义务献血、植绿抗霾、环境保护、交通文明劝导等志愿服务活动，与湖南省环保社团联合会共同开展了“大爱筑绿城，全民抗雾霾”大型环保公益系列活动，连续2年冠名长沙国际马拉松比赛，组织开展公益植树、抗霾课堂进校园、绿行家20公里公益徒步筹款等活动，为构建和谐社会做出了积极的贡献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atLeast"/>
        <w:ind w:left="0" w:right="0" w:firstLine="642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（十七）积极开展金融宣传教育</w:t>
      </w:r>
      <w:r>
        <w:rPr>
          <w:rFonts w:hint="eastAsia" w:ascii="仿宋" w:hAnsi="仿宋" w:eastAsia="仿宋" w:cs="仿宋"/>
          <w:sz w:val="32"/>
          <w:szCs w:val="32"/>
        </w:rPr>
        <w:t>。充分发挥网点主阵地职能，在所有营业网点设立专门的公众教育区，摆放《湖南银行业消费者权益保护知识读本》等书籍和预防电信网络诈骗、警惕非法集资等宣传折页，在多媒体上播放《信用名片》《防范电信诈骗》等金融知识相关视频，增强社会公众金融素养和维权意识。加强电子渠道宣传力度，通过定期在我行微信银行、官方网站推送与消费者密切相关的金融知识，扩大公众教育的覆盖面，2017年在电子渠道共推送金融知识23期。积极开展“金融知识进万家” “送金融知识和金融服务进校园”“金融知识普及月”“普及金融知识万里行”“3.15国际消费者权益日”“2017年国家网络安全周”等一系列形式多样的集中宣传活动，共发放宣传折页20万余份，受益人群达18万余人，有效提高了消费者识别和防范金融风险的能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六、构筑绿色金融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 </w:t>
      </w:r>
      <w:r>
        <w:rPr>
          <w:rFonts w:hint="eastAsia" w:ascii="楷体" w:hAnsi="楷体" w:eastAsia="楷体" w:cs="楷体"/>
          <w:sz w:val="32"/>
          <w:szCs w:val="32"/>
        </w:rPr>
        <w:t>（十八）积极发展绿色金融，促进环境友好。</w:t>
      </w:r>
      <w:r>
        <w:rPr>
          <w:rFonts w:hint="eastAsia" w:ascii="仿宋" w:hAnsi="仿宋" w:eastAsia="仿宋" w:cs="仿宋"/>
          <w:sz w:val="32"/>
          <w:szCs w:val="32"/>
        </w:rPr>
        <w:t>我行主动加强环境管理，严格实施绿色信贷标准。按照区别对待、有保有压的原则，严格控制新增对高耗能、高污染项目以及产品出口的信贷支持，加大对排放超标企业和落后产能的退出力度；贷款评审阶段重点审查环保审批文件的合规性、完整性和相关程序的合法性，贷款发放环节重点审核借款人生产能耗与环保合规信息；贷后管理阶段确保严格的退出标准，加强实时风险预警管理工作，建立环保风险信贷退出机制。发行10亿元绿色金融债，全部投向污染防治、资源节约与循环利用、清洁交通、清洁能源以及生态保护和适应气候变化等绿色产业项目。通过加大绿色信贷支持力度，2017年我行节能环保项目及服务信贷支持的企业节约标准煤和水资源11338吨和3050吨，削减化学需氧量10088.2吨，减排二氧化碳、氨氮和二氧化硫22100吨、665吨和895吨，节能减排成效显著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 </w:t>
      </w:r>
      <w:r>
        <w:rPr>
          <w:rFonts w:hint="eastAsia" w:ascii="楷体" w:hAnsi="楷体" w:eastAsia="楷体" w:cs="楷体"/>
          <w:sz w:val="32"/>
          <w:szCs w:val="32"/>
        </w:rPr>
        <w:t>（十九）发展电子银行，降低业务能耗</w:t>
      </w:r>
      <w:r>
        <w:rPr>
          <w:rFonts w:hint="eastAsia" w:ascii="仿宋" w:hAnsi="仿宋" w:eastAsia="仿宋" w:cs="仿宋"/>
          <w:sz w:val="32"/>
          <w:szCs w:val="32"/>
        </w:rPr>
        <w:t>。本行将低碳环保理念融入日常运营，加快互联网金融体系建设，完成了网上银行、手机银行、微信银行、直销银行等线上渠道布局，提倡客户通过线上渠道在线处理自助缴费、账户查询、转账汇款、理财等非现金类业务，减少客户出行、纸张损耗，培养低碳生活理念。截至2017年12月末，电子银行当年累计交易规模7320.37亿元，电子银行交易替代率90.33%，较年初提高4.22个百分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 </w:t>
      </w:r>
      <w:r>
        <w:rPr>
          <w:rFonts w:hint="eastAsia" w:ascii="楷体" w:hAnsi="楷体" w:eastAsia="楷体" w:cs="楷体"/>
          <w:sz w:val="32"/>
          <w:szCs w:val="32"/>
        </w:rPr>
        <w:t>（二十）推广低碳办公，支持节能减排</w:t>
      </w:r>
      <w:r>
        <w:rPr>
          <w:rFonts w:hint="eastAsia" w:ascii="仿宋" w:hAnsi="仿宋" w:eastAsia="仿宋" w:cs="仿宋"/>
          <w:sz w:val="32"/>
          <w:szCs w:val="32"/>
        </w:rPr>
        <w:t>。本行坚持将环保理念贯穿于日常运营的全过程，将绿色环保纳入日常工作中，培养每一位员工的环保意识。提倡办公用品循环使用、纸张双面使用；积极开展无纸化办公，尽量通过电子邮件沟通工作，利用网上办公系统进行公文处理；减少空调使用频率，降低各类电器待机能耗；科学安排公车使用，降低油耗，推广视频会议，减少异地往来交通耗能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2018年，本行将继续贯彻 “关爱社会弱势群体，积极投身公益事业，当好优秀企业公民，服务和谐社会建设”的文化理念，践行社会责任各项承诺，坚持经济、社会和环境协调发展，积极服务实体经济发展，持续提升客户服务水平，关心员工发展，关注股东回报，关切社会福祉，关爱自然环境，为促进企业和社会的协调发展做出新的贡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A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  <w:rPr>
      <w:b/>
    </w:rPr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ascii="Courier New" w:hAnsi="Courier New"/>
      <w:sz w:val="20"/>
    </w:rPr>
  </w:style>
  <w:style w:type="character" w:styleId="14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沉默</cp:lastModifiedBy>
  <dcterms:modified xsi:type="dcterms:W3CDTF">2020-05-28T01:30:23Z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